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r>
        <w:rPr/>
      </w:r>
    </w:p>
    <w:p>
      <w:pPr>
        <w:pStyle w:val="style0"/>
        <w:jc w:val="center"/>
        <w:rPr>
          <w:b/>
          <w:bCs/>
          <w:sz w:val="32"/>
          <w:szCs w:val="32"/>
          <w:u w:val="single"/>
        </w:rPr>
      </w:pPr>
      <w:r>
        <w:rPr>
          <w:b/>
          <w:bCs/>
          <w:sz w:val="32"/>
          <w:szCs w:val="32"/>
          <w:u w:val="single"/>
        </w:rPr>
        <w:t>DOCUMENTS : Séance 4</w:t>
      </w:r>
    </w:p>
    <w:p>
      <w:pPr>
        <w:pStyle w:val="style0"/>
        <w:rPr/>
      </w:pPr>
      <w:r>
        <w:rPr/>
      </w:r>
    </w:p>
    <w:p>
      <w:pPr>
        <w:pStyle w:val="style0"/>
        <w:rPr/>
      </w:pPr>
      <w:r>
        <w:rPr/>
      </w:r>
    </w:p>
    <w:p>
      <w:pPr>
        <w:pStyle w:val="style0"/>
        <w:rPr/>
      </w:pPr>
      <w:r>
        <w:rPr/>
      </w:r>
    </w:p>
    <w:p>
      <w:pPr>
        <w:pStyle w:val="style0"/>
        <w:rPr>
          <w:b/>
          <w:bCs/>
          <w:u w:val="single"/>
        </w:rPr>
      </w:pPr>
      <w:r>
        <w:rPr>
          <w:b/>
          <w:bCs/>
          <w:u w:val="single"/>
        </w:rPr>
        <w:t>Texte de la lecture analytique à vidéo-projeter :</w:t>
      </w:r>
    </w:p>
    <w:p>
      <w:pPr>
        <w:pStyle w:val="style0"/>
        <w:rPr/>
      </w:pPr>
      <w:r>
        <w:rPr/>
      </w:r>
    </w:p>
    <w:tbl>
      <w:tblPr>
        <w:jc w:val="left"/>
        <w:tblInd w:type="dxa" w:w="53"/>
        <w:tblBorders>
          <w:top w:color="000001" w:space="0" w:sz="2" w:val="single"/>
          <w:left w:color="000001" w:space="0" w:sz="2" w:val="single"/>
          <w:bottom w:color="000001" w:space="0" w:sz="2" w:val="single"/>
          <w:insideH w:color="000001" w:space="0" w:sz="2" w:val="single"/>
          <w:right w:color="000001" w:space="0" w:sz="2" w:val="single"/>
          <w:insideV w:color="000001" w:space="0" w:sz="2" w:val="single"/>
        </w:tblBorders>
        <w:tblCellMar>
          <w:top w:type="dxa" w:w="55"/>
          <w:left w:type="dxa" w:w="51"/>
          <w:bottom w:type="dxa" w:w="55"/>
          <w:right w:type="dxa" w:w="55"/>
        </w:tblCellMar>
      </w:tblPr>
      <w:tblGrid>
        <w:gridCol w:w="9638"/>
      </w:tblGrid>
      <w:tr>
        <w:trPr>
          <w:cantSplit w:val="false"/>
        </w:trPr>
        <w:tc>
          <w:tcPr>
            <w:tcW w:type="dxa" w:w="9638"/>
            <w:tcBorders>
              <w:top w:color="000001" w:space="0" w:sz="2" w:val="single"/>
              <w:left w:color="000001" w:space="0" w:sz="2" w:val="single"/>
              <w:bottom w:color="000001" w:space="0" w:sz="2" w:val="single"/>
              <w:right w:color="000001" w:space="0" w:sz="2" w:val="single"/>
            </w:tcBorders>
            <w:shd w:fill="CCCCCC" w:val="clear"/>
            <w:tcMar>
              <w:left w:type="dxa" w:w="51"/>
            </w:tcMar>
          </w:tcPr>
          <w:p>
            <w:pPr>
              <w:pStyle w:val="style21"/>
              <w:jc w:val="center"/>
              <w:rPr>
                <w:b/>
                <w:bCs/>
                <w:sz w:val="24"/>
                <w:szCs w:val="24"/>
              </w:rPr>
            </w:pPr>
            <w:r>
              <w:rPr>
                <w:b/>
                <w:bCs/>
                <w:sz w:val="24"/>
                <w:szCs w:val="24"/>
              </w:rPr>
              <w:t>Épicure vu par Lucrèce (</w:t>
            </w:r>
            <w:r>
              <w:rPr>
                <w:b/>
                <w:bCs/>
                <w:i/>
                <w:iCs/>
                <w:sz w:val="24"/>
                <w:szCs w:val="24"/>
              </w:rPr>
              <w:t>De Natura rerum</w:t>
            </w:r>
            <w:r>
              <w:rPr>
                <w:b/>
                <w:bCs/>
                <w:sz w:val="24"/>
                <w:szCs w:val="24"/>
              </w:rPr>
              <w:t>, I, v.62-67)</w:t>
            </w:r>
          </w:p>
          <w:p>
            <w:pPr>
              <w:pStyle w:val="style21"/>
              <w:jc w:val="center"/>
              <w:rPr/>
            </w:pPr>
            <w:r>
              <w:rPr/>
            </w:r>
          </w:p>
          <w:p>
            <w:pPr>
              <w:pStyle w:val="style0"/>
              <w:widowControl w:val="false"/>
              <w:spacing w:after="0" w:before="0" w:line="200" w:lineRule="atLeast"/>
              <w:contextualSpacing w:val="false"/>
              <w:jc w:val="center"/>
              <w:rPr>
                <w:b/>
                <w:bCs/>
                <w:sz w:val="24"/>
                <w:szCs w:val="24"/>
                <w:u w:val="single"/>
              </w:rPr>
            </w:pPr>
            <w:r>
              <w:rPr>
                <w:b/>
                <w:bCs/>
                <w:sz w:val="24"/>
                <w:szCs w:val="24"/>
                <w:u w:val="single"/>
              </w:rPr>
              <w:t>En quoi le personnage d’Épicure est-il important pour les humanistes ?</w:t>
            </w:r>
          </w:p>
          <w:p>
            <w:pPr>
              <w:pStyle w:val="style0"/>
              <w:widowControl w:val="false"/>
              <w:spacing w:after="0" w:before="0" w:line="200" w:lineRule="atLeast"/>
              <w:contextualSpacing w:val="false"/>
              <w:jc w:val="center"/>
              <w:rPr/>
            </w:pPr>
            <w:r>
              <w:rPr/>
            </w:r>
          </w:p>
        </w:tc>
      </w:tr>
      <w:tr>
        <w:trPr>
          <w:cantSplit w:val="false"/>
        </w:trPr>
        <w:tc>
          <w:tcPr>
            <w:tcW w:type="dxa" w:w="9638"/>
            <w:tcBorders>
              <w:top w:val="nil"/>
              <w:left w:color="000001" w:space="0" w:sz="2" w:val="single"/>
              <w:bottom w:color="000001" w:space="0" w:sz="2" w:val="single"/>
              <w:right w:color="000001" w:space="0" w:sz="2" w:val="single"/>
            </w:tcBorders>
            <w:shd w:fill="FFFFFF" w:val="clear"/>
            <w:tcMar>
              <w:left w:type="dxa" w:w="51"/>
            </w:tcMar>
          </w:tcPr>
          <w:p>
            <w:pPr>
              <w:pStyle w:val="style0"/>
              <w:widowControl w:val="false"/>
              <w:spacing w:after="0" w:before="0" w:line="480" w:lineRule="auto"/>
              <w:contextualSpacing w:val="false"/>
              <w:jc w:val="center"/>
              <w:rPr/>
            </w:pPr>
            <w:r>
              <w:rPr/>
            </w:r>
          </w:p>
          <w:p>
            <w:pPr>
              <w:pStyle w:val="style0"/>
              <w:widowControl w:val="false"/>
              <w:spacing w:after="0" w:before="0" w:line="480" w:lineRule="auto"/>
              <w:contextualSpacing w:val="false"/>
              <w:jc w:val="center"/>
              <w:rPr>
                <w:i/>
                <w:sz w:val="24"/>
                <w:szCs w:val="24"/>
              </w:rPr>
            </w:pPr>
            <w:r>
              <w:rPr>
                <w:i/>
                <w:sz w:val="24"/>
                <w:szCs w:val="24"/>
              </w:rPr>
              <w:t>Humana ante oculos foede cum vita jaceret</w:t>
            </w:r>
          </w:p>
          <w:p>
            <w:pPr>
              <w:pStyle w:val="style0"/>
              <w:widowControl w:val="false"/>
              <w:spacing w:after="0" w:before="0" w:line="480" w:lineRule="auto"/>
              <w:contextualSpacing w:val="false"/>
              <w:jc w:val="center"/>
              <w:rPr>
                <w:i/>
                <w:sz w:val="24"/>
                <w:szCs w:val="24"/>
              </w:rPr>
            </w:pPr>
            <w:r>
              <w:rPr>
                <w:i/>
                <w:sz w:val="24"/>
                <w:szCs w:val="24"/>
              </w:rPr>
              <w:t>in terris, oppressa gravi sub religione</w:t>
            </w:r>
          </w:p>
          <w:p>
            <w:pPr>
              <w:pStyle w:val="style0"/>
              <w:widowControl w:val="false"/>
              <w:spacing w:after="0" w:before="0" w:line="480" w:lineRule="auto"/>
              <w:contextualSpacing w:val="false"/>
              <w:jc w:val="center"/>
              <w:rPr>
                <w:i/>
                <w:sz w:val="24"/>
                <w:szCs w:val="24"/>
              </w:rPr>
            </w:pPr>
            <w:r>
              <w:rPr>
                <w:i/>
                <w:sz w:val="24"/>
                <w:szCs w:val="24"/>
              </w:rPr>
              <w:t>quae caput a caeli regionibus ostendebat,</w:t>
            </w:r>
          </w:p>
          <w:p>
            <w:pPr>
              <w:pStyle w:val="style0"/>
              <w:widowControl w:val="false"/>
              <w:spacing w:after="0" w:before="0" w:line="480" w:lineRule="auto"/>
              <w:contextualSpacing w:val="false"/>
              <w:jc w:val="center"/>
              <w:rPr>
                <w:i/>
                <w:sz w:val="24"/>
                <w:szCs w:val="24"/>
              </w:rPr>
            </w:pPr>
            <w:r>
              <w:rPr>
                <w:i/>
                <w:sz w:val="24"/>
                <w:szCs w:val="24"/>
              </w:rPr>
              <w:t>horribili super aspectu mortalibus instans,</w:t>
            </w:r>
          </w:p>
          <w:p>
            <w:pPr>
              <w:pStyle w:val="style0"/>
              <w:widowControl w:val="false"/>
              <w:spacing w:after="0" w:before="0" w:line="480" w:lineRule="auto"/>
              <w:contextualSpacing w:val="false"/>
              <w:jc w:val="center"/>
              <w:rPr>
                <w:i/>
                <w:sz w:val="24"/>
                <w:szCs w:val="24"/>
              </w:rPr>
            </w:pPr>
            <w:r>
              <w:rPr>
                <w:i/>
                <w:sz w:val="24"/>
                <w:szCs w:val="24"/>
              </w:rPr>
              <w:t>primum Graius homo mortalis tollere contra</w:t>
            </w:r>
          </w:p>
          <w:p>
            <w:pPr>
              <w:pStyle w:val="style0"/>
              <w:widowControl w:val="false"/>
              <w:spacing w:after="0" w:before="0" w:line="480" w:lineRule="auto"/>
              <w:contextualSpacing w:val="false"/>
              <w:jc w:val="center"/>
              <w:rPr>
                <w:i/>
                <w:sz w:val="24"/>
                <w:szCs w:val="24"/>
              </w:rPr>
            </w:pPr>
            <w:r>
              <w:rPr>
                <w:i/>
                <w:sz w:val="24"/>
                <w:szCs w:val="24"/>
              </w:rPr>
              <w:t>est oculos ausus, primusque obsistere contra.</w:t>
            </w:r>
          </w:p>
          <w:p>
            <w:pPr>
              <w:pStyle w:val="style0"/>
              <w:widowControl w:val="false"/>
              <w:spacing w:after="0" w:before="0" w:line="480" w:lineRule="auto"/>
              <w:contextualSpacing w:val="false"/>
              <w:jc w:val="center"/>
              <w:rPr/>
            </w:pPr>
            <w:r>
              <w:rPr/>
            </w:r>
          </w:p>
        </w:tc>
      </w:tr>
    </w:tbl>
    <w:p>
      <w:pPr>
        <w:pStyle w:val="style0"/>
        <w:rPr/>
      </w:pPr>
      <w:r>
        <w:rPr/>
      </w:r>
    </w:p>
    <w:p>
      <w:pPr>
        <w:pStyle w:val="style0"/>
        <w:widowControl w:val="false"/>
        <w:spacing w:after="0" w:before="0" w:line="200" w:lineRule="atLeast"/>
        <w:contextualSpacing w:val="false"/>
        <w:jc w:val="center"/>
        <w:rPr/>
      </w:pPr>
      <w:r>
        <w:rPr/>
      </w:r>
    </w:p>
    <w:p>
      <w:pPr>
        <w:pStyle w:val="style0"/>
        <w:widowControl w:val="false"/>
        <w:spacing w:after="0" w:before="0" w:line="200" w:lineRule="atLeast"/>
        <w:contextualSpacing w:val="false"/>
        <w:jc w:val="both"/>
        <w:rPr>
          <w:i w:val="false"/>
          <w:iCs w:val="false"/>
        </w:rPr>
      </w:pPr>
      <w:r>
        <w:rPr>
          <w:i w:val="false"/>
          <w:iCs w:val="false"/>
        </w:rPr>
      </w:r>
    </w:p>
    <w:p>
      <w:pPr>
        <w:pStyle w:val="style0"/>
        <w:widowControl w:val="false"/>
        <w:spacing w:after="0" w:before="0" w:line="200" w:lineRule="atLeast"/>
        <w:contextualSpacing w:val="false"/>
        <w:jc w:val="both"/>
        <w:rPr>
          <w:i w:val="false"/>
          <w:iCs w:val="false"/>
        </w:rPr>
      </w:pPr>
      <w:r>
        <w:rPr>
          <w:i w:val="false"/>
          <w:iCs w:val="false"/>
        </w:rPr>
      </w:r>
    </w:p>
    <w:p>
      <w:pPr>
        <w:pStyle w:val="style0"/>
        <w:widowControl w:val="false"/>
        <w:spacing w:after="0" w:before="0" w:line="200" w:lineRule="atLeast"/>
        <w:contextualSpacing w:val="false"/>
        <w:jc w:val="both"/>
        <w:rPr>
          <w:b/>
          <w:bCs/>
          <w:i w:val="false"/>
          <w:iCs w:val="false"/>
          <w:sz w:val="24"/>
          <w:szCs w:val="24"/>
          <w:u w:val="single"/>
        </w:rPr>
      </w:pPr>
      <w:r>
        <w:rPr>
          <w:b/>
          <w:bCs/>
          <w:i w:val="false"/>
          <w:iCs w:val="false"/>
          <w:sz w:val="24"/>
          <w:szCs w:val="24"/>
          <w:u w:val="single"/>
        </w:rPr>
        <w:t>Traduction de Désiré Nisard adaptée :</w:t>
      </w:r>
    </w:p>
    <w:p>
      <w:pPr>
        <w:pStyle w:val="style0"/>
        <w:widowControl w:val="false"/>
        <w:spacing w:after="0" w:before="0" w:line="200" w:lineRule="atLeast"/>
        <w:contextualSpacing w:val="false"/>
        <w:jc w:val="both"/>
        <w:rPr>
          <w:i w:val="false"/>
          <w:iCs w:val="false"/>
        </w:rPr>
      </w:pPr>
      <w:r>
        <w:rPr>
          <w:i w:val="false"/>
          <w:iCs w:val="false"/>
        </w:rPr>
      </w:r>
    </w:p>
    <w:p>
      <w:pPr>
        <w:pStyle w:val="style0"/>
        <w:widowControl w:val="false"/>
        <w:spacing w:after="0" w:before="0" w:line="200" w:lineRule="atLeast"/>
        <w:contextualSpacing w:val="false"/>
        <w:jc w:val="both"/>
        <w:rPr>
          <w:bCs/>
          <w:i w:val="false"/>
          <w:iCs w:val="false"/>
          <w:sz w:val="24"/>
          <w:szCs w:val="24"/>
          <w:shd w:fill="FFFFFF" w:val="clear"/>
        </w:rPr>
      </w:pPr>
      <w:r>
        <w:rPr>
          <w:bCs/>
          <w:i w:val="false"/>
          <w:iCs w:val="false"/>
          <w:sz w:val="24"/>
          <w:szCs w:val="24"/>
          <w:shd w:fill="FFFFFF" w:val="clear"/>
        </w:rPr>
        <w:tab/>
        <w:t>Jadis, quand on voyait les hommes traîner une vie rampante sous le joug honteux de la superstition, et que la tête du monstre leur apparaissant depuis la cime des cieux, les menaçant de son regard épouvantable, le premier, un Grec, un simple mortel osa enfin lever les yeux sur lui, osa enfin lui résister en face.</w:t>
      </w:r>
    </w:p>
    <w:sectPr>
      <w:headerReference r:id="rId2" w:type="default"/>
      <w:type w:val="nextPage"/>
      <w:pgSz w:h="16838" w:w="11906"/>
      <w:pgMar w:bottom="1134" w:footer="0" w:gutter="0" w:header="1134" w:left="1134" w:right="1134" w:top="2176"/>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spacing w:after="0" w:before="0" w:line="115" w:lineRule="atLeast"/>
      <w:contextualSpacing w:val="false"/>
      <w:rPr>
        <w:b/>
        <w:bCs/>
        <w:i/>
        <w:iCs/>
        <w:sz w:val="22"/>
        <w:szCs w:val="22"/>
      </w:rPr>
    </w:pPr>
    <w:r>
      <w:rPr>
        <w:b/>
        <w:bCs/>
        <w:i/>
        <w:iCs/>
        <w:sz w:val="22"/>
        <w:szCs w:val="22"/>
      </w:rPr>
      <w:t>EPI LCA-Français-Histoire 5</w:t>
    </w:r>
    <w:r>
      <w:rPr>
        <w:b/>
        <w:bCs/>
        <w:i/>
        <w:iCs/>
        <w:sz w:val="22"/>
        <w:szCs w:val="22"/>
        <w:vertAlign w:val="superscript"/>
      </w:rPr>
      <w:t>e</w:t>
    </w:r>
    <w:r>
      <w:rPr>
        <w:b/>
        <w:bCs/>
        <w:i/>
        <w:iCs/>
        <w:sz w:val="22"/>
        <w:szCs w:val="22"/>
      </w:rPr>
      <w:t> : Comprendre l'humanisme et ce qu'est un héritage culturel.</w:t>
    </w:r>
  </w:p>
  <w:p>
    <w:pPr>
      <w:pStyle w:val="style20"/>
      <w:spacing w:after="0" w:before="0" w:line="115" w:lineRule="atLeast"/>
      <w:contextualSpacing w:val="false"/>
      <w:rPr>
        <w:i/>
        <w:iCs/>
        <w:sz w:val="22"/>
        <w:szCs w:val="22"/>
      </w:rPr>
    </w:pPr>
    <w:r>
      <w:rPr>
        <w:i/>
        <w:iCs/>
        <w:sz w:val="22"/>
        <w:szCs w:val="22"/>
      </w:rPr>
      <w:t>Christine DARNAULT, formatrice académique et professeur de Lettres classiques au lycée Guillaume Budé</w:t>
    </w:r>
  </w:p>
  <w:p>
    <w:pPr>
      <w:pStyle w:val="style20"/>
      <w:spacing w:after="0" w:before="0" w:line="115" w:lineRule="atLeast"/>
      <w:contextualSpacing w:val="false"/>
      <w:rPr>
        <w:i/>
        <w:iCs/>
        <w:sz w:val="22"/>
        <w:szCs w:val="22"/>
      </w:rPr>
    </w:pPr>
    <w:r>
      <w:rPr>
        <w:i/>
        <w:iCs/>
        <w:sz w:val="22"/>
        <w:szCs w:val="22"/>
      </w:rPr>
      <w:t>Séléna H</w:t>
    </w:r>
    <w:r>
      <w:rPr>
        <w:rFonts w:cs="Arial" w:eastAsia="Arial"/>
        <w:i/>
        <w:iCs/>
        <w:sz w:val="22"/>
        <w:szCs w:val="22"/>
      </w:rPr>
      <w:t>É</w:t>
    </w:r>
    <w:r>
      <w:rPr>
        <w:i/>
        <w:iCs/>
        <w:sz w:val="22"/>
        <w:szCs w:val="22"/>
      </w:rPr>
      <w:t>BERT, professeur de Lettres classiques au lycée Samuel de Champlain</w:t>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Mangal" w:eastAsia="SimSun" w:hAnsi="Times New Roman"/>
      <w:color w:val="00000A"/>
      <w:sz w:val="24"/>
      <w:szCs w:val="24"/>
      <w:lang w:bidi="hi-IN" w:eastAsia="zh-CN" w:val="fr-FR"/>
    </w:rPr>
  </w:style>
  <w:style w:styleId="style15" w:type="paragraph">
    <w:name w:val="Titre"/>
    <w:basedOn w:val="style0"/>
    <w:next w:val="style16"/>
    <w:pPr>
      <w:keepNext/>
      <w:spacing w:after="120" w:before="240"/>
      <w:contextualSpacing w:val="false"/>
    </w:pPr>
    <w:rPr>
      <w:rFonts w:ascii="Arial" w:cs="Mangal" w:eastAsia="Microsoft YaHei" w:hAnsi="Arial"/>
      <w:sz w:val="28"/>
      <w:szCs w:val="28"/>
    </w:rPr>
  </w:style>
  <w:style w:styleId="style16" w:type="paragraph">
    <w:name w:val="Corps de texte"/>
    <w:basedOn w:val="style0"/>
    <w:next w:val="style16"/>
    <w:pPr>
      <w:spacing w:after="120" w:before="0"/>
      <w:contextualSpacing w:val="false"/>
    </w:pPr>
    <w:rPr/>
  </w:style>
  <w:style w:styleId="style17" w:type="paragraph">
    <w:name w:val="Liste"/>
    <w:basedOn w:val="style16"/>
    <w:next w:val="style17"/>
    <w:pPr/>
    <w:rPr>
      <w:rFonts w:cs="Mangal"/>
    </w:rPr>
  </w:style>
  <w:style w:styleId="style18" w:type="paragraph">
    <w:name w:val="Légende"/>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 w:styleId="style20" w:type="paragraph">
    <w:name w:val="En-tête"/>
    <w:basedOn w:val="style0"/>
    <w:next w:val="style20"/>
    <w:pPr>
      <w:suppressLineNumbers/>
      <w:tabs>
        <w:tab w:leader="none" w:pos="4819" w:val="center"/>
        <w:tab w:leader="none" w:pos="9638" w:val="right"/>
      </w:tabs>
    </w:pPr>
    <w:rPr/>
  </w:style>
  <w:style w:styleId="style21" w:type="paragraph">
    <w:name w:val="Contenu de tableau"/>
    <w:basedOn w:val="style0"/>
    <w:next w:val="style2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2016-04-23T12:24:11Z</dcterms:created>
  <cp:revision>0</cp:revision>
</cp:coreProperties>
</file>