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E6" w:rsidRDefault="006509E6">
      <w:pPr>
        <w:jc w:val="left"/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5592"/>
        <w:gridCol w:w="5908"/>
      </w:tblGrid>
      <w:tr w:rsidR="006509E6">
        <w:trPr>
          <w:trHeight w:val="299"/>
        </w:trPr>
        <w:tc>
          <w:tcPr>
            <w:tcW w:w="13849" w:type="dxa"/>
            <w:gridSpan w:val="3"/>
          </w:tcPr>
          <w:p w:rsidR="006509E6" w:rsidRDefault="006509E6" w:rsidP="000D038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17964">
              <w:rPr>
                <w:rFonts w:ascii="Garamond" w:hAnsi="Garamond"/>
                <w:b/>
                <w:sz w:val="24"/>
              </w:rPr>
              <w:t>Séquence « La littérature : de perpétuelles réécritures ? »</w:t>
            </w:r>
          </w:p>
          <w:p w:rsidR="006E7B15" w:rsidRPr="00517964" w:rsidRDefault="006E7B15" w:rsidP="000D0385">
            <w:pPr>
              <w:jc w:val="center"/>
              <w:rPr>
                <w:rFonts w:ascii="Garamond" w:hAnsi="Garamond"/>
                <w:b/>
                <w:sz w:val="24"/>
              </w:rPr>
            </w:pPr>
            <w:bookmarkStart w:id="0" w:name="_GoBack"/>
            <w:bookmarkEnd w:id="0"/>
          </w:p>
          <w:p w:rsidR="00742F75" w:rsidRPr="00742F75" w:rsidRDefault="00742F75" w:rsidP="000D0385">
            <w:pPr>
              <w:jc w:val="center"/>
              <w:rPr>
                <w:rFonts w:ascii="Garamond" w:hAnsi="Garamond"/>
                <w:sz w:val="24"/>
              </w:rPr>
            </w:pPr>
            <w:r w:rsidRPr="00742F75">
              <w:rPr>
                <w:rFonts w:ascii="Garamond" w:hAnsi="Garamond"/>
                <w:sz w:val="24"/>
              </w:rPr>
              <w:t>Il nous est</w:t>
            </w:r>
            <w:r>
              <w:rPr>
                <w:rFonts w:ascii="Garamond" w:hAnsi="Garamond"/>
                <w:sz w:val="24"/>
              </w:rPr>
              <w:t xml:space="preserve"> parfois possible de retrouver le texte ou les textes qui ont conduit à la création d’une nouvelle œuvre, pourtant, il nous est impossible d’affirmer que nous détenons l’œuvre originelle, car cette même œuvre, elle-même, n’est pas née de rien. La littérature reprend des</w:t>
            </w:r>
            <w:r w:rsidR="00827577">
              <w:rPr>
                <w:rFonts w:ascii="Garamond" w:hAnsi="Garamond"/>
                <w:sz w:val="24"/>
              </w:rPr>
              <w:t xml:space="preserve"> thèmes, des motifs, des idées, </w:t>
            </w:r>
            <w:r>
              <w:rPr>
                <w:rFonts w:ascii="Garamond" w:hAnsi="Garamond"/>
                <w:sz w:val="24"/>
              </w:rPr>
              <w:t>qu’elle transforme, présente sous de nouvelles formes, et fait évoluer. N’est-elle pas, en ce sens, constituée de perpétuelles réécritures ?</w:t>
            </w:r>
          </w:p>
        </w:tc>
      </w:tr>
      <w:tr w:rsidR="006509E6" w:rsidRPr="00517964">
        <w:trPr>
          <w:trHeight w:val="209"/>
        </w:trPr>
        <w:tc>
          <w:tcPr>
            <w:tcW w:w="2349" w:type="dxa"/>
          </w:tcPr>
          <w:p w:rsidR="006509E6" w:rsidRPr="00517964" w:rsidRDefault="006509E6" w:rsidP="008E54B1">
            <w:pPr>
              <w:jc w:val="center"/>
              <w:rPr>
                <w:rFonts w:ascii="Garamond" w:hAnsi="Garamond"/>
                <w:sz w:val="24"/>
              </w:rPr>
            </w:pPr>
            <w:r w:rsidRPr="00517964">
              <w:rPr>
                <w:rFonts w:ascii="Garamond" w:hAnsi="Garamond"/>
                <w:b/>
                <w:sz w:val="24"/>
              </w:rPr>
              <w:t>S</w:t>
            </w:r>
            <w:r w:rsidR="00517964" w:rsidRPr="00517964">
              <w:rPr>
                <w:rFonts w:ascii="Garamond" w:hAnsi="Garamond"/>
                <w:b/>
                <w:sz w:val="24"/>
              </w:rPr>
              <w:t>éanc</w:t>
            </w:r>
            <w:r w:rsidRPr="00517964">
              <w:rPr>
                <w:rFonts w:ascii="Garamond" w:hAnsi="Garamond"/>
                <w:b/>
                <w:sz w:val="24"/>
              </w:rPr>
              <w:t>es</w:t>
            </w:r>
          </w:p>
        </w:tc>
        <w:tc>
          <w:tcPr>
            <w:tcW w:w="5592" w:type="dxa"/>
          </w:tcPr>
          <w:p w:rsidR="006509E6" w:rsidRPr="00517964" w:rsidRDefault="006509E6" w:rsidP="008E54B1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17964">
              <w:rPr>
                <w:rFonts w:ascii="Garamond" w:hAnsi="Garamond"/>
                <w:b/>
                <w:sz w:val="24"/>
              </w:rPr>
              <w:t xml:space="preserve"> Enjeux</w:t>
            </w:r>
          </w:p>
        </w:tc>
        <w:tc>
          <w:tcPr>
            <w:tcW w:w="5908" w:type="dxa"/>
          </w:tcPr>
          <w:p w:rsidR="006509E6" w:rsidRPr="00517964" w:rsidRDefault="006509E6" w:rsidP="008E54B1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17964">
              <w:rPr>
                <w:rFonts w:ascii="Garamond" w:hAnsi="Garamond"/>
                <w:b/>
                <w:sz w:val="24"/>
              </w:rPr>
              <w:t>Documents</w:t>
            </w:r>
          </w:p>
        </w:tc>
      </w:tr>
      <w:tr w:rsidR="006509E6" w:rsidRPr="00517964">
        <w:trPr>
          <w:trHeight w:val="889"/>
        </w:trPr>
        <w:tc>
          <w:tcPr>
            <w:tcW w:w="2351" w:type="dxa"/>
          </w:tcPr>
          <w:p w:rsidR="006509E6" w:rsidRPr="00517964" w:rsidRDefault="006509E6">
            <w:pPr>
              <w:rPr>
                <w:rFonts w:ascii="Garamond" w:hAnsi="Garamond"/>
                <w:sz w:val="24"/>
              </w:rPr>
            </w:pPr>
          </w:p>
          <w:p w:rsidR="00517964" w:rsidRDefault="00517964" w:rsidP="006509E6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6509E6" w:rsidRPr="00517964" w:rsidRDefault="00AF1674" w:rsidP="006509E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17964">
              <w:rPr>
                <w:rFonts w:ascii="Garamond" w:hAnsi="Garamond"/>
                <w:b/>
                <w:sz w:val="24"/>
              </w:rPr>
              <w:t>I</w:t>
            </w:r>
          </w:p>
          <w:p w:rsidR="001822D0" w:rsidRDefault="006509E6" w:rsidP="006509E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17964">
              <w:rPr>
                <w:rFonts w:ascii="Garamond" w:hAnsi="Garamond"/>
                <w:b/>
                <w:sz w:val="24"/>
              </w:rPr>
              <w:t>Universitaire</w:t>
            </w:r>
          </w:p>
          <w:p w:rsidR="006509E6" w:rsidRPr="00517964" w:rsidRDefault="001822D0" w:rsidP="006509E6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2h</w:t>
            </w:r>
          </w:p>
        </w:tc>
        <w:tc>
          <w:tcPr>
            <w:tcW w:w="5590" w:type="dxa"/>
          </w:tcPr>
          <w:p w:rsidR="006509E6" w:rsidRPr="00517964" w:rsidRDefault="006509E6">
            <w:pPr>
              <w:rPr>
                <w:rFonts w:ascii="Garamond" w:hAnsi="Garamond"/>
              </w:rPr>
            </w:pPr>
            <w:r w:rsidRPr="00517964">
              <w:rPr>
                <w:rFonts w:ascii="Garamond" w:hAnsi="Garamond"/>
              </w:rPr>
              <w:t>« La réécriture comme palimpseste »</w:t>
            </w:r>
          </w:p>
          <w:p w:rsidR="006509E6" w:rsidRPr="00517964" w:rsidRDefault="006509E6">
            <w:pPr>
              <w:rPr>
                <w:rFonts w:ascii="Garamond" w:hAnsi="Garamond"/>
              </w:rPr>
            </w:pPr>
            <w:r w:rsidRPr="00517964">
              <w:rPr>
                <w:rFonts w:ascii="Garamond" w:hAnsi="Garamond"/>
              </w:rPr>
              <w:t>Amorcer une réflexion sur ce qu’est la réécriture et déployer ses sens, les différentes réalités que le terme recouvre, les différentes p</w:t>
            </w:r>
            <w:r w:rsidR="00D0096D" w:rsidRPr="00517964">
              <w:rPr>
                <w:rFonts w:ascii="Garamond" w:hAnsi="Garamond"/>
              </w:rPr>
              <w:t>ratiques auxquelles elle donne</w:t>
            </w:r>
            <w:r w:rsidRPr="00517964">
              <w:rPr>
                <w:rFonts w:ascii="Garamond" w:hAnsi="Garamond"/>
              </w:rPr>
              <w:t xml:space="preserve"> lieu (réécriture d’un mythe, réécriture par un même auteur de sa propre œuvre, la transposition, la </w:t>
            </w:r>
            <w:proofErr w:type="gramStart"/>
            <w:r w:rsidRPr="00517964">
              <w:rPr>
                <w:rFonts w:ascii="Garamond" w:hAnsi="Garamond"/>
              </w:rPr>
              <w:t>traduction…)</w:t>
            </w:r>
            <w:proofErr w:type="gramEnd"/>
            <w:r w:rsidRPr="00517964">
              <w:rPr>
                <w:rFonts w:ascii="Garamond" w:hAnsi="Garamond"/>
              </w:rPr>
              <w:t>. S’attarder sur la notion de palimpseste en se demandant si toute œuvre n’est pas toujours déjà une réécriture</w:t>
            </w:r>
            <w:r w:rsidR="00C86F9E" w:rsidRPr="00517964">
              <w:rPr>
                <w:rFonts w:ascii="Garamond" w:hAnsi="Garamond"/>
              </w:rPr>
              <w:t xml:space="preserve"> et </w:t>
            </w:r>
            <w:r w:rsidR="00C86F9E" w:rsidRPr="00517964">
              <w:rPr>
                <w:rFonts w:ascii="Garamond" w:hAnsi="Garamond"/>
                <w:i/>
              </w:rPr>
              <w:t>pourquoi</w:t>
            </w:r>
            <w:r w:rsidR="00C86F9E" w:rsidRPr="00517964">
              <w:rPr>
                <w:rFonts w:ascii="Garamond" w:hAnsi="Garamond"/>
              </w:rPr>
              <w:t xml:space="preserve"> on réécrit.</w:t>
            </w:r>
          </w:p>
        </w:tc>
        <w:tc>
          <w:tcPr>
            <w:tcW w:w="5908" w:type="dxa"/>
          </w:tcPr>
          <w:p w:rsidR="006509E6" w:rsidRPr="00EA0DAF" w:rsidRDefault="006509E6" w:rsidP="00EA0DAF">
            <w:pPr>
              <w:rPr>
                <w:rFonts w:ascii="Garamond" w:hAnsi="Garamond"/>
              </w:rPr>
            </w:pPr>
            <w:r w:rsidRPr="00517964">
              <w:rPr>
                <w:rFonts w:ascii="Garamond" w:hAnsi="Garamond"/>
              </w:rPr>
              <w:t xml:space="preserve">- </w:t>
            </w:r>
            <w:r w:rsidR="004757DC" w:rsidRPr="001B6136">
              <w:rPr>
                <w:rFonts w:ascii="Garamond" w:hAnsi="Garamond"/>
                <w:b/>
              </w:rPr>
              <w:t xml:space="preserve">extrait de </w:t>
            </w:r>
            <w:r w:rsidRPr="001B6136">
              <w:rPr>
                <w:rFonts w:ascii="Garamond" w:hAnsi="Garamond"/>
                <w:b/>
              </w:rPr>
              <w:t xml:space="preserve">Genette, </w:t>
            </w:r>
            <w:r w:rsidRPr="001B6136">
              <w:rPr>
                <w:rFonts w:ascii="Garamond" w:hAnsi="Garamond"/>
                <w:b/>
                <w:i/>
              </w:rPr>
              <w:t>Palimpseste</w:t>
            </w:r>
            <w:r w:rsidR="00BF6D5B" w:rsidRPr="001B6136">
              <w:rPr>
                <w:rFonts w:ascii="Garamond" w:hAnsi="Garamond"/>
                <w:b/>
                <w:i/>
              </w:rPr>
              <w:t>s – la littérature au second degré</w:t>
            </w:r>
            <w:r w:rsidR="00BF6D5B" w:rsidRPr="00517964">
              <w:rPr>
                <w:rFonts w:ascii="Garamond" w:hAnsi="Garamond"/>
                <w:i/>
              </w:rPr>
              <w:t xml:space="preserve"> </w:t>
            </w:r>
            <w:r w:rsidR="00BF6D5B" w:rsidRPr="00517964">
              <w:rPr>
                <w:rFonts w:ascii="Garamond" w:hAnsi="Garamond"/>
              </w:rPr>
              <w:t>(</w:t>
            </w:r>
            <w:r w:rsidR="00EC7302">
              <w:rPr>
                <w:rFonts w:ascii="Garamond" w:hAnsi="Garamond"/>
              </w:rPr>
              <w:t xml:space="preserve">Paris, Seuil, </w:t>
            </w:r>
            <w:r w:rsidR="00BF6D5B" w:rsidRPr="00517964">
              <w:rPr>
                <w:rFonts w:ascii="Garamond" w:hAnsi="Garamond"/>
              </w:rPr>
              <w:t>1982</w:t>
            </w:r>
            <w:r w:rsidR="00EC7302">
              <w:rPr>
                <w:rFonts w:ascii="Garamond" w:hAnsi="Garamond"/>
              </w:rPr>
              <w:t>, « Points Essais », p. 532-534</w:t>
            </w:r>
            <w:r w:rsidR="00BF6D5B" w:rsidRPr="00517964">
              <w:rPr>
                <w:rFonts w:ascii="Garamond" w:hAnsi="Garamond"/>
              </w:rPr>
              <w:t>)</w:t>
            </w:r>
            <w:r w:rsidR="00EC7302">
              <w:rPr>
                <w:rFonts w:ascii="Garamond" w:hAnsi="Garamond"/>
              </w:rPr>
              <w:t xml:space="preserve">, </w:t>
            </w:r>
            <w:r w:rsidR="000D0385" w:rsidRPr="00517964">
              <w:rPr>
                <w:rFonts w:ascii="Garamond" w:hAnsi="Garamond"/>
              </w:rPr>
              <w:t xml:space="preserve"> sur l’</w:t>
            </w:r>
            <w:proofErr w:type="spellStart"/>
            <w:r w:rsidR="000D0385" w:rsidRPr="00517964">
              <w:rPr>
                <w:rFonts w:ascii="Garamond" w:hAnsi="Garamond"/>
              </w:rPr>
              <w:t>hypotexte</w:t>
            </w:r>
            <w:proofErr w:type="spellEnd"/>
            <w:r w:rsidR="000D0385" w:rsidRPr="00517964">
              <w:rPr>
                <w:rFonts w:ascii="Garamond" w:hAnsi="Garamond"/>
              </w:rPr>
              <w:t xml:space="preserve"> et l’hypertexte, ainsi que sur Stendhal et la genèse de </w:t>
            </w:r>
            <w:r w:rsidR="000D0385" w:rsidRPr="00517964">
              <w:rPr>
                <w:rFonts w:ascii="Garamond" w:hAnsi="Garamond"/>
                <w:i/>
              </w:rPr>
              <w:t>Lucie</w:t>
            </w:r>
            <w:r w:rsidR="006828F8" w:rsidRPr="00517964">
              <w:rPr>
                <w:rFonts w:ascii="Garamond" w:hAnsi="Garamond"/>
                <w:i/>
              </w:rPr>
              <w:t>n</w:t>
            </w:r>
            <w:r w:rsidR="000D0385" w:rsidRPr="00517964">
              <w:rPr>
                <w:rFonts w:ascii="Garamond" w:hAnsi="Garamond"/>
                <w:i/>
              </w:rPr>
              <w:t xml:space="preserve"> Leuwe</w:t>
            </w:r>
            <w:r w:rsidR="00EA0DAF">
              <w:rPr>
                <w:rFonts w:ascii="Garamond" w:hAnsi="Garamond"/>
                <w:i/>
              </w:rPr>
              <w:t>n</w:t>
            </w:r>
            <w:r w:rsidR="00EA0DAF">
              <w:rPr>
                <w:rFonts w:ascii="Garamond" w:hAnsi="Garamond"/>
              </w:rPr>
              <w:t xml:space="preserve"> (LXXVIII, de </w:t>
            </w:r>
            <w:r w:rsidR="00EA0DAF" w:rsidRPr="00EA0DAF">
              <w:rPr>
                <w:rFonts w:ascii="Garamond" w:hAnsi="Garamond"/>
              </w:rPr>
              <w:t>« </w:t>
            </w:r>
            <w:r w:rsidR="00EA0DAF" w:rsidRPr="00EA0DAF">
              <w:rPr>
                <w:rFonts w:ascii="Garamond" w:hAnsi="Garamond"/>
                <w:szCs w:val="22"/>
              </w:rPr>
              <w:t xml:space="preserve">Quel que soit leur degré (fort variable) d’émancipation… » à « Le brouillon de </w:t>
            </w:r>
            <w:r w:rsidR="00EA0DAF" w:rsidRPr="00EA0DAF">
              <w:rPr>
                <w:rFonts w:ascii="Garamond" w:hAnsi="Garamond"/>
                <w:i/>
                <w:szCs w:val="22"/>
              </w:rPr>
              <w:t>Leuwen</w:t>
            </w:r>
            <w:r w:rsidR="00EA0DAF" w:rsidRPr="00EA0DAF">
              <w:rPr>
                <w:rFonts w:ascii="Garamond" w:hAnsi="Garamond"/>
                <w:szCs w:val="22"/>
              </w:rPr>
              <w:t>, tel que nous le connaissons, n’est que le troisième état. »</w:t>
            </w:r>
          </w:p>
          <w:p w:rsidR="006509E6" w:rsidRPr="00517964" w:rsidRDefault="006509E6">
            <w:pPr>
              <w:rPr>
                <w:rFonts w:ascii="Garamond" w:hAnsi="Garamond"/>
              </w:rPr>
            </w:pPr>
            <w:r w:rsidRPr="00517964">
              <w:rPr>
                <w:rFonts w:ascii="Garamond" w:hAnsi="Garamond"/>
              </w:rPr>
              <w:t xml:space="preserve">- </w:t>
            </w:r>
            <w:r w:rsidR="00743E09" w:rsidRPr="001B6136">
              <w:rPr>
                <w:rFonts w:ascii="Garamond" w:hAnsi="Garamond"/>
                <w:b/>
              </w:rPr>
              <w:t xml:space="preserve">extrait de </w:t>
            </w:r>
            <w:r w:rsidRPr="001B6136">
              <w:rPr>
                <w:rFonts w:ascii="Garamond" w:hAnsi="Garamond"/>
                <w:b/>
              </w:rPr>
              <w:t xml:space="preserve">Steiner, </w:t>
            </w:r>
            <w:r w:rsidRPr="001B6136">
              <w:rPr>
                <w:rFonts w:ascii="Garamond" w:hAnsi="Garamond"/>
                <w:b/>
                <w:i/>
              </w:rPr>
              <w:t xml:space="preserve">Les </w:t>
            </w:r>
            <w:proofErr w:type="spellStart"/>
            <w:r w:rsidRPr="001B6136">
              <w:rPr>
                <w:rFonts w:ascii="Garamond" w:hAnsi="Garamond"/>
                <w:b/>
                <w:i/>
              </w:rPr>
              <w:t>Antigones</w:t>
            </w:r>
            <w:proofErr w:type="spellEnd"/>
            <w:r w:rsidR="00BF6D5B" w:rsidRPr="00517964">
              <w:rPr>
                <w:rFonts w:ascii="Garamond" w:hAnsi="Garamond"/>
              </w:rPr>
              <w:t xml:space="preserve"> (</w:t>
            </w:r>
            <w:r w:rsidR="00EE16B6">
              <w:rPr>
                <w:rFonts w:ascii="Garamond" w:hAnsi="Garamond"/>
              </w:rPr>
              <w:t xml:space="preserve">Paris, </w:t>
            </w:r>
            <w:r w:rsidR="00EC7302">
              <w:rPr>
                <w:rFonts w:ascii="Garamond" w:hAnsi="Garamond"/>
              </w:rPr>
              <w:t xml:space="preserve">Gallimard, « La Bibliothèque des idées, </w:t>
            </w:r>
            <w:r w:rsidR="00BF6D5B" w:rsidRPr="00517964">
              <w:rPr>
                <w:rFonts w:ascii="Garamond" w:hAnsi="Garamond"/>
              </w:rPr>
              <w:t>1984</w:t>
            </w:r>
            <w:r w:rsidR="00EC7302">
              <w:rPr>
                <w:rFonts w:ascii="Garamond" w:hAnsi="Garamond"/>
              </w:rPr>
              <w:t>, traduc</w:t>
            </w:r>
            <w:r w:rsidR="00063896">
              <w:rPr>
                <w:rFonts w:ascii="Garamond" w:hAnsi="Garamond"/>
              </w:rPr>
              <w:t>tion de Ph. Blanchard, 1986, p. </w:t>
            </w:r>
            <w:r w:rsidR="00EC7302">
              <w:rPr>
                <w:rFonts w:ascii="Garamond" w:hAnsi="Garamond"/>
              </w:rPr>
              <w:t>328-331 puis p. 253</w:t>
            </w:r>
            <w:r w:rsidR="00BF6D5B" w:rsidRPr="00517964">
              <w:rPr>
                <w:rFonts w:ascii="Garamond" w:hAnsi="Garamond"/>
              </w:rPr>
              <w:t>)</w:t>
            </w:r>
            <w:r w:rsidR="00EA0DAF">
              <w:rPr>
                <w:rFonts w:ascii="Garamond" w:hAnsi="Garamond"/>
              </w:rPr>
              <w:t xml:space="preserve">, chapitre </w:t>
            </w:r>
            <w:r w:rsidR="00EA0DAF" w:rsidRPr="00EA0DAF">
              <w:rPr>
                <w:rFonts w:ascii="Garamond" w:hAnsi="Garamond"/>
              </w:rPr>
              <w:t xml:space="preserve">4 de « </w:t>
            </w:r>
            <w:r w:rsidR="00EA0DAF" w:rsidRPr="00EA0DAF">
              <w:rPr>
                <w:rFonts w:ascii="Garamond" w:hAnsi="Garamond"/>
                <w:szCs w:val="22"/>
              </w:rPr>
              <w:t>Pourquoi cette autorité ininterrompue des mythes grecs sur l’imagination occidentale ? » à (5) « le potentiel de rencontres acceptées ou refusées entre l’existentiel et le transcendant. »</w:t>
            </w:r>
          </w:p>
        </w:tc>
      </w:tr>
      <w:tr w:rsidR="006509E6" w:rsidRPr="00517964">
        <w:trPr>
          <w:trHeight w:val="890"/>
        </w:trPr>
        <w:tc>
          <w:tcPr>
            <w:tcW w:w="2351" w:type="dxa"/>
          </w:tcPr>
          <w:p w:rsidR="006509E6" w:rsidRPr="00517964" w:rsidRDefault="006509E6" w:rsidP="00AF1674">
            <w:pPr>
              <w:rPr>
                <w:rFonts w:ascii="Garamond" w:hAnsi="Garamond"/>
                <w:b/>
                <w:sz w:val="24"/>
              </w:rPr>
            </w:pPr>
          </w:p>
          <w:p w:rsidR="00AF1674" w:rsidRPr="00517964" w:rsidRDefault="00AF1674" w:rsidP="00AF1674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17964">
              <w:rPr>
                <w:rFonts w:ascii="Garamond" w:hAnsi="Garamond"/>
                <w:b/>
                <w:sz w:val="24"/>
              </w:rPr>
              <w:t>II</w:t>
            </w:r>
          </w:p>
          <w:p w:rsidR="001822D0" w:rsidRDefault="006509E6" w:rsidP="006509E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17964">
              <w:rPr>
                <w:rFonts w:ascii="Garamond" w:hAnsi="Garamond"/>
                <w:b/>
                <w:sz w:val="24"/>
              </w:rPr>
              <w:t>Universitaire</w:t>
            </w:r>
          </w:p>
          <w:p w:rsidR="006509E6" w:rsidRPr="00517964" w:rsidRDefault="001822D0" w:rsidP="006509E6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2h</w:t>
            </w:r>
          </w:p>
        </w:tc>
        <w:tc>
          <w:tcPr>
            <w:tcW w:w="5590" w:type="dxa"/>
          </w:tcPr>
          <w:p w:rsidR="006509E6" w:rsidRPr="00517964" w:rsidRDefault="006509E6">
            <w:pPr>
              <w:rPr>
                <w:rFonts w:ascii="Garamond" w:hAnsi="Garamond"/>
              </w:rPr>
            </w:pPr>
            <w:r w:rsidRPr="00517964">
              <w:rPr>
                <w:rFonts w:ascii="Garamond" w:hAnsi="Garamond"/>
              </w:rPr>
              <w:t xml:space="preserve">« Réécriture et </w:t>
            </w:r>
            <w:r w:rsidRPr="00517964">
              <w:rPr>
                <w:rFonts w:ascii="Garamond" w:hAnsi="Garamond"/>
                <w:i/>
              </w:rPr>
              <w:t>mimesis</w:t>
            </w:r>
            <w:r w:rsidR="00C86F9E" w:rsidRPr="00517964">
              <w:rPr>
                <w:rFonts w:ascii="Garamond" w:hAnsi="Garamond"/>
              </w:rPr>
              <w:t xml:space="preserve"> </w:t>
            </w:r>
            <w:r w:rsidRPr="00517964">
              <w:rPr>
                <w:rFonts w:ascii="Garamond" w:hAnsi="Garamond"/>
              </w:rPr>
              <w:t>»</w:t>
            </w:r>
          </w:p>
          <w:p w:rsidR="006509E6" w:rsidRPr="00517964" w:rsidRDefault="00C86F9E">
            <w:pPr>
              <w:rPr>
                <w:rFonts w:ascii="Garamond" w:hAnsi="Garamond"/>
              </w:rPr>
            </w:pPr>
            <w:r w:rsidRPr="00517964">
              <w:rPr>
                <w:rFonts w:ascii="Garamond" w:hAnsi="Garamond"/>
              </w:rPr>
              <w:t xml:space="preserve">S’interroger sur les reprises et variations qu’implique la réécriture. </w:t>
            </w:r>
            <w:r w:rsidR="00BF6D5B" w:rsidRPr="00517964">
              <w:rPr>
                <w:rFonts w:ascii="Garamond" w:hAnsi="Garamond"/>
              </w:rPr>
              <w:t xml:space="preserve">Partir de la notion de </w:t>
            </w:r>
            <w:r w:rsidR="00BF6D5B" w:rsidRPr="00517964">
              <w:rPr>
                <w:rFonts w:ascii="Garamond" w:hAnsi="Garamond"/>
                <w:i/>
              </w:rPr>
              <w:t xml:space="preserve">mimesis </w:t>
            </w:r>
            <w:r w:rsidR="00BF6D5B" w:rsidRPr="00517964">
              <w:rPr>
                <w:rFonts w:ascii="Garamond" w:hAnsi="Garamond"/>
              </w:rPr>
              <w:t xml:space="preserve">chez Aristote pour l’envisager ensuite, en débat, au XVIIe s. </w:t>
            </w:r>
            <w:r w:rsidR="006509E6" w:rsidRPr="00517964">
              <w:rPr>
                <w:rFonts w:ascii="Garamond" w:hAnsi="Garamond"/>
              </w:rPr>
              <w:t xml:space="preserve">Prendre en compte le cas d’une réécriture en particulier, </w:t>
            </w:r>
            <w:r w:rsidR="006509E6" w:rsidRPr="00517964">
              <w:rPr>
                <w:rFonts w:ascii="Garamond" w:hAnsi="Garamond"/>
                <w:i/>
              </w:rPr>
              <w:t>Tite et Bérénice</w:t>
            </w:r>
            <w:r w:rsidR="006509E6" w:rsidRPr="00517964">
              <w:rPr>
                <w:rFonts w:ascii="Garamond" w:hAnsi="Garamond"/>
              </w:rPr>
              <w:t xml:space="preserve"> de Corneille et </w:t>
            </w:r>
            <w:r w:rsidR="006509E6" w:rsidRPr="00517964">
              <w:rPr>
                <w:rFonts w:ascii="Garamond" w:hAnsi="Garamond"/>
                <w:i/>
              </w:rPr>
              <w:t>Bérénice</w:t>
            </w:r>
            <w:r w:rsidR="006509E6" w:rsidRPr="00517964">
              <w:rPr>
                <w:rFonts w:ascii="Garamond" w:hAnsi="Garamond"/>
              </w:rPr>
              <w:t xml:space="preserve"> de Racine. Notion d’imitation et de réappropriation dans le cadre de la querelle des Anciens des Modernes. </w:t>
            </w:r>
          </w:p>
        </w:tc>
        <w:tc>
          <w:tcPr>
            <w:tcW w:w="5908" w:type="dxa"/>
          </w:tcPr>
          <w:p w:rsidR="003B3B39" w:rsidRPr="001B6136" w:rsidRDefault="003B3B39" w:rsidP="003B3B39">
            <w:pPr>
              <w:rPr>
                <w:rFonts w:ascii="Garamond" w:hAnsi="Garamond"/>
                <w:b/>
              </w:rPr>
            </w:pPr>
            <w:r w:rsidRPr="00517964">
              <w:rPr>
                <w:rFonts w:ascii="Garamond" w:hAnsi="Garamond"/>
              </w:rPr>
              <w:t xml:space="preserve">- </w:t>
            </w:r>
            <w:r w:rsidRPr="001B6136">
              <w:rPr>
                <w:rFonts w:ascii="Garamond" w:hAnsi="Garamond"/>
                <w:b/>
              </w:rPr>
              <w:t xml:space="preserve">extrait de la préface de </w:t>
            </w:r>
            <w:r w:rsidRPr="001B6136">
              <w:rPr>
                <w:rFonts w:ascii="Garamond" w:hAnsi="Garamond"/>
                <w:b/>
                <w:i/>
              </w:rPr>
              <w:t>Bérénice</w:t>
            </w:r>
            <w:r w:rsidR="00743E09" w:rsidRPr="001B6136">
              <w:rPr>
                <w:rFonts w:ascii="Garamond" w:hAnsi="Garamond"/>
                <w:b/>
              </w:rPr>
              <w:t xml:space="preserve"> de Racine</w:t>
            </w:r>
            <w:r w:rsidR="00EA0DAF" w:rsidRPr="00EE16B6">
              <w:rPr>
                <w:rFonts w:ascii="Garamond" w:hAnsi="Garamond"/>
              </w:rPr>
              <w:t>,</w:t>
            </w:r>
            <w:r w:rsidR="001B6136" w:rsidRPr="00EE16B6">
              <w:t xml:space="preserve"> </w:t>
            </w:r>
            <w:r w:rsidR="00EE16B6" w:rsidRPr="00EE16B6">
              <w:rPr>
                <w:rFonts w:ascii="Garamond" w:hAnsi="Garamond"/>
              </w:rPr>
              <w:t>Paris,</w:t>
            </w:r>
            <w:r w:rsidR="001B6136" w:rsidRPr="00EE16B6">
              <w:rPr>
                <w:rFonts w:ascii="Garamond" w:hAnsi="Garamond"/>
              </w:rPr>
              <w:t xml:space="preserve"> Le Livre de Poche, 2001, p. 22-24,</w:t>
            </w:r>
            <w:r w:rsidR="001B6136">
              <w:rPr>
                <w:rFonts w:ascii="Garamond" w:hAnsi="Garamond"/>
              </w:rPr>
              <w:t xml:space="preserve"> </w:t>
            </w:r>
            <w:r w:rsidR="00EA0DAF" w:rsidRPr="001B6136">
              <w:rPr>
                <w:rFonts w:ascii="Garamond" w:hAnsi="Garamond"/>
              </w:rPr>
              <w:t>de</w:t>
            </w:r>
            <w:r w:rsidR="00EA0DAF" w:rsidRPr="00EA0DAF">
              <w:rPr>
                <w:rFonts w:ascii="Garamond" w:hAnsi="Garamond"/>
              </w:rPr>
              <w:t xml:space="preserve"> « Il y avait longtemps que je voulais essayer… » à « La principale règle est de plaire et de toucher, toutes les autres ne sont faites que pour parvenir à cette première. »</w:t>
            </w:r>
          </w:p>
          <w:p w:rsidR="00EA0DAF" w:rsidRDefault="003B3B39" w:rsidP="00EA0DAF">
            <w:pPr>
              <w:rPr>
                <w:sz w:val="21"/>
                <w:szCs w:val="21"/>
              </w:rPr>
            </w:pPr>
            <w:r w:rsidRPr="00517964">
              <w:rPr>
                <w:rFonts w:ascii="Garamond" w:hAnsi="Garamond"/>
              </w:rPr>
              <w:t xml:space="preserve">- </w:t>
            </w:r>
            <w:r w:rsidRPr="0066008A">
              <w:rPr>
                <w:rFonts w:ascii="Garamond" w:hAnsi="Garamond"/>
                <w:b/>
              </w:rPr>
              <w:t xml:space="preserve">extrait de </w:t>
            </w:r>
            <w:r w:rsidRPr="0066008A">
              <w:rPr>
                <w:rFonts w:ascii="Garamond" w:hAnsi="Garamond"/>
                <w:b/>
                <w:i/>
              </w:rPr>
              <w:t>Bérénice</w:t>
            </w:r>
            <w:r w:rsidRPr="0066008A">
              <w:rPr>
                <w:rFonts w:ascii="Garamond" w:hAnsi="Garamond"/>
                <w:b/>
              </w:rPr>
              <w:t xml:space="preserve"> de Racin</w:t>
            </w:r>
            <w:r w:rsidR="00827577" w:rsidRPr="0066008A">
              <w:rPr>
                <w:rFonts w:ascii="Garamond" w:hAnsi="Garamond"/>
                <w:b/>
              </w:rPr>
              <w:t>e</w:t>
            </w:r>
            <w:r w:rsidR="005E4870">
              <w:rPr>
                <w:rFonts w:ascii="Garamond" w:hAnsi="Garamond"/>
                <w:b/>
              </w:rPr>
              <w:t xml:space="preserve"> </w:t>
            </w:r>
            <w:r w:rsidR="005E4870">
              <w:rPr>
                <w:rFonts w:ascii="Garamond" w:hAnsi="Garamond"/>
              </w:rPr>
              <w:t>(1670)</w:t>
            </w:r>
            <w:r w:rsidR="00EA0DAF">
              <w:rPr>
                <w:rFonts w:ascii="Garamond" w:hAnsi="Garamond"/>
              </w:rPr>
              <w:t>, IV, 5</w:t>
            </w:r>
            <w:r w:rsidR="001B6136">
              <w:rPr>
                <w:rFonts w:ascii="Garamond" w:hAnsi="Garamond"/>
              </w:rPr>
              <w:t>, v. 1073-1159,</w:t>
            </w:r>
            <w:r w:rsidR="00EE16B6">
              <w:rPr>
                <w:rFonts w:ascii="Garamond" w:hAnsi="Garamond"/>
              </w:rPr>
              <w:t xml:space="preserve"> Paris, Le Livre de Poche, p. 75-78,</w:t>
            </w:r>
            <w:r w:rsidR="00EA0DAF">
              <w:rPr>
                <w:rFonts w:ascii="Garamond" w:hAnsi="Garamond"/>
              </w:rPr>
              <w:t xml:space="preserve"> de « </w:t>
            </w:r>
            <w:r w:rsidR="00EA0DAF" w:rsidRPr="003F4321">
              <w:rPr>
                <w:b/>
                <w:sz w:val="21"/>
                <w:szCs w:val="21"/>
              </w:rPr>
              <w:t>Bérénice</w:t>
            </w:r>
            <w:r w:rsidR="00EA0DAF">
              <w:rPr>
                <w:b/>
                <w:sz w:val="21"/>
                <w:szCs w:val="21"/>
              </w:rPr>
              <w:t xml:space="preserve"> : </w:t>
            </w:r>
            <w:r w:rsidR="00EA0DAF" w:rsidRPr="003F4321">
              <w:rPr>
                <w:sz w:val="21"/>
                <w:szCs w:val="21"/>
              </w:rPr>
              <w:t>Tout l’empire a vingt fois conspiré contre nous.</w:t>
            </w:r>
            <w:r w:rsidR="00EA0DAF">
              <w:rPr>
                <w:sz w:val="21"/>
                <w:szCs w:val="21"/>
              </w:rPr>
              <w:t> » à « </w:t>
            </w:r>
            <w:r w:rsidR="00EA0DAF">
              <w:rPr>
                <w:b/>
                <w:sz w:val="21"/>
                <w:szCs w:val="21"/>
              </w:rPr>
              <w:t xml:space="preserve">Titus : </w:t>
            </w:r>
            <w:r w:rsidR="00EA0DAF" w:rsidRPr="00EA0DAF">
              <w:rPr>
                <w:sz w:val="21"/>
                <w:szCs w:val="21"/>
              </w:rPr>
              <w:t xml:space="preserve">[…] </w:t>
            </w:r>
            <w:r w:rsidR="00EA0DAF" w:rsidRPr="003F4321">
              <w:rPr>
                <w:sz w:val="21"/>
                <w:szCs w:val="21"/>
              </w:rPr>
              <w:t>Rome a de mes pareils exercé la constance.</w:t>
            </w:r>
            <w:r w:rsidR="00EA0DAF">
              <w:rPr>
                <w:sz w:val="21"/>
                <w:szCs w:val="21"/>
              </w:rPr>
              <w:t> »</w:t>
            </w:r>
          </w:p>
          <w:p w:rsidR="00EA0DAF" w:rsidRPr="003F4321" w:rsidRDefault="006509E6" w:rsidP="00EA0DAF">
            <w:r w:rsidRPr="0066008A">
              <w:rPr>
                <w:rFonts w:ascii="Garamond" w:hAnsi="Garamond"/>
                <w:b/>
              </w:rPr>
              <w:t xml:space="preserve">- extrait de </w:t>
            </w:r>
            <w:r w:rsidRPr="0066008A">
              <w:rPr>
                <w:rFonts w:ascii="Garamond" w:hAnsi="Garamond"/>
                <w:b/>
                <w:i/>
              </w:rPr>
              <w:t xml:space="preserve">Tite et </w:t>
            </w:r>
            <w:r w:rsidRPr="00EA0DAF">
              <w:rPr>
                <w:rFonts w:ascii="Garamond" w:hAnsi="Garamond"/>
                <w:b/>
                <w:i/>
              </w:rPr>
              <w:t>Bérénice</w:t>
            </w:r>
            <w:r w:rsidRPr="00EA0DAF">
              <w:rPr>
                <w:rFonts w:ascii="Garamond" w:hAnsi="Garamond"/>
                <w:b/>
              </w:rPr>
              <w:t xml:space="preserve"> de Corneille</w:t>
            </w:r>
            <w:r w:rsidR="005E4870">
              <w:rPr>
                <w:rFonts w:ascii="Garamond" w:hAnsi="Garamond"/>
              </w:rPr>
              <w:t xml:space="preserve"> (1670)</w:t>
            </w:r>
            <w:r w:rsidR="00EA0DAF" w:rsidRPr="00EA0DAF">
              <w:rPr>
                <w:rFonts w:ascii="Garamond" w:hAnsi="Garamond"/>
              </w:rPr>
              <w:t xml:space="preserve">, V, 4, </w:t>
            </w:r>
            <w:r w:rsidR="00EE16B6">
              <w:rPr>
                <w:rFonts w:ascii="Garamond" w:hAnsi="Garamond"/>
              </w:rPr>
              <w:t xml:space="preserve">v. 1599-1642, Paris, GF, 2006, p. 405-406, </w:t>
            </w:r>
            <w:r w:rsidR="00EA0DAF" w:rsidRPr="00EA0DAF">
              <w:rPr>
                <w:rFonts w:ascii="Garamond" w:hAnsi="Garamond"/>
              </w:rPr>
              <w:t>de « </w:t>
            </w:r>
            <w:r w:rsidR="00EA0DAF" w:rsidRPr="00EA0DAF">
              <w:rPr>
                <w:rFonts w:ascii="Garamond" w:hAnsi="Garamond"/>
                <w:b/>
              </w:rPr>
              <w:t xml:space="preserve">Bérénice : </w:t>
            </w:r>
            <w:r w:rsidR="00EA0DAF" w:rsidRPr="00EA0DAF">
              <w:rPr>
                <w:rFonts w:ascii="Garamond" w:hAnsi="Garamond"/>
              </w:rPr>
              <w:t>De ce qui m’est permis je sais mieux la mesure… » à « </w:t>
            </w:r>
            <w:r w:rsidR="00EA0DAF" w:rsidRPr="00EA0DAF">
              <w:rPr>
                <w:rFonts w:ascii="Garamond" w:hAnsi="Garamond"/>
                <w:b/>
              </w:rPr>
              <w:t xml:space="preserve">Tite : </w:t>
            </w:r>
            <w:r w:rsidR="00EA0DAF" w:rsidRPr="00EA0DAF">
              <w:rPr>
                <w:rFonts w:ascii="Garamond" w:hAnsi="Garamond"/>
              </w:rPr>
              <w:t>[…]</w:t>
            </w:r>
            <w:r w:rsidR="00EA0DAF">
              <w:rPr>
                <w:rFonts w:ascii="Garamond" w:hAnsi="Garamond"/>
              </w:rPr>
              <w:t xml:space="preserve"> </w:t>
            </w:r>
            <w:r w:rsidR="00EA0DAF" w:rsidRPr="00EA0DAF">
              <w:rPr>
                <w:rFonts w:ascii="Garamond" w:hAnsi="Garamond"/>
              </w:rPr>
              <w:t>Je quitterais l’empire et tout ce qui lui nuit. »</w:t>
            </w:r>
          </w:p>
          <w:p w:rsidR="00EA0DAF" w:rsidRDefault="006509E6" w:rsidP="00EE16B6">
            <w:r w:rsidRPr="00517964">
              <w:rPr>
                <w:rFonts w:ascii="Garamond" w:hAnsi="Garamond"/>
              </w:rPr>
              <w:t xml:space="preserve">- </w:t>
            </w:r>
            <w:r w:rsidRPr="00EE16B6">
              <w:rPr>
                <w:rFonts w:ascii="Garamond" w:hAnsi="Garamond"/>
                <w:b/>
              </w:rPr>
              <w:t xml:space="preserve">extrait de La Fontaine, </w:t>
            </w:r>
            <w:r w:rsidRPr="00EE16B6">
              <w:rPr>
                <w:rFonts w:ascii="Garamond" w:hAnsi="Garamond"/>
                <w:b/>
                <w:i/>
              </w:rPr>
              <w:t>Epître à Monseigneur Huet</w:t>
            </w:r>
            <w:r w:rsidR="00EA0DAF" w:rsidRPr="00EA0DAF">
              <w:rPr>
                <w:rFonts w:ascii="Garamond" w:hAnsi="Garamond"/>
              </w:rPr>
              <w:t xml:space="preserve"> </w:t>
            </w:r>
            <w:r w:rsidR="00FB2228">
              <w:rPr>
                <w:rFonts w:ascii="Garamond" w:hAnsi="Garamond"/>
              </w:rPr>
              <w:t>(1687),</w:t>
            </w:r>
            <w:r w:rsidR="00063896">
              <w:rPr>
                <w:rFonts w:ascii="Garamond" w:hAnsi="Garamond"/>
              </w:rPr>
              <w:t xml:space="preserve"> </w:t>
            </w:r>
            <w:r w:rsidR="00063896" w:rsidRPr="00063896">
              <w:rPr>
                <w:rFonts w:ascii="Garamond" w:hAnsi="Garamond" w:cs="Times New Roman"/>
                <w:i/>
                <w:iCs/>
                <w:szCs w:val="22"/>
              </w:rPr>
              <w:t>Œuvres diverses</w:t>
            </w:r>
            <w:r w:rsidR="00063896" w:rsidRPr="00063896">
              <w:rPr>
                <w:rFonts w:ascii="Garamond" w:hAnsi="Garamond" w:cs="Times New Roman"/>
                <w:szCs w:val="22"/>
              </w:rPr>
              <w:t>, (éd. P. </w:t>
            </w:r>
            <w:proofErr w:type="spellStart"/>
            <w:r w:rsidR="00063896" w:rsidRPr="00063896">
              <w:rPr>
                <w:rFonts w:ascii="Garamond" w:hAnsi="Garamond" w:cs="Times New Roman"/>
                <w:szCs w:val="22"/>
              </w:rPr>
              <w:t>Clarac</w:t>
            </w:r>
            <w:proofErr w:type="spellEnd"/>
            <w:r w:rsidR="00063896" w:rsidRPr="00063896">
              <w:rPr>
                <w:rFonts w:ascii="Garamond" w:hAnsi="Garamond" w:cs="Times New Roman"/>
                <w:szCs w:val="22"/>
              </w:rPr>
              <w:t>), Pari</w:t>
            </w:r>
            <w:r w:rsidR="00063896">
              <w:rPr>
                <w:rFonts w:ascii="Garamond" w:hAnsi="Garamond" w:cs="Times New Roman"/>
                <w:szCs w:val="22"/>
              </w:rPr>
              <w:t>s, Gallimard, Pléiade, 1958, p. </w:t>
            </w:r>
            <w:r w:rsidR="00063896" w:rsidRPr="00063896">
              <w:rPr>
                <w:rFonts w:ascii="Garamond" w:hAnsi="Garamond" w:cs="Times New Roman"/>
                <w:szCs w:val="22"/>
              </w:rPr>
              <w:t>647-649,</w:t>
            </w:r>
            <w:r w:rsidR="00FB2228" w:rsidRPr="00063896">
              <w:rPr>
                <w:rFonts w:ascii="Garamond" w:hAnsi="Garamond"/>
              </w:rPr>
              <w:t xml:space="preserve"> de </w:t>
            </w:r>
            <w:r w:rsidR="00EA0DAF" w:rsidRPr="00EA0DAF">
              <w:rPr>
                <w:rFonts w:ascii="Garamond" w:hAnsi="Garamond"/>
              </w:rPr>
              <w:t>« Je vous fais un présent capable de me nuire. » à « Tâchant de rendre mien cet air d’antiquité. »</w:t>
            </w:r>
            <w:r w:rsidR="00EA0DAF">
              <w:t xml:space="preserve"> </w:t>
            </w:r>
          </w:p>
          <w:p w:rsidR="006509E6" w:rsidRPr="00EA0DAF" w:rsidRDefault="006509E6">
            <w:pPr>
              <w:rPr>
                <w:rFonts w:ascii="Garamond" w:hAnsi="Garamond"/>
                <w:color w:val="FF0000"/>
              </w:rPr>
            </w:pPr>
            <w:r w:rsidRPr="00517964">
              <w:rPr>
                <w:rFonts w:ascii="Garamond" w:hAnsi="Garamond"/>
              </w:rPr>
              <w:t xml:space="preserve">- </w:t>
            </w:r>
            <w:r w:rsidRPr="00EE16B6">
              <w:rPr>
                <w:rFonts w:ascii="Garamond" w:hAnsi="Garamond"/>
                <w:b/>
              </w:rPr>
              <w:t xml:space="preserve">extrait de Molière, </w:t>
            </w:r>
            <w:r w:rsidRPr="00EE16B6">
              <w:rPr>
                <w:rFonts w:ascii="Garamond" w:hAnsi="Garamond"/>
                <w:b/>
                <w:i/>
              </w:rPr>
              <w:t>Dom Juan</w:t>
            </w:r>
            <w:r w:rsidR="005E4870">
              <w:rPr>
                <w:rFonts w:ascii="Garamond" w:hAnsi="Garamond"/>
                <w:i/>
              </w:rPr>
              <w:t xml:space="preserve"> </w:t>
            </w:r>
            <w:r w:rsidR="005E4870">
              <w:rPr>
                <w:rFonts w:ascii="Garamond" w:hAnsi="Garamond"/>
              </w:rPr>
              <w:t>(1665)</w:t>
            </w:r>
            <w:r w:rsidR="00A27D2D">
              <w:rPr>
                <w:rFonts w:ascii="Garamond" w:hAnsi="Garamond"/>
              </w:rPr>
              <w:t>, II, 1, de « </w:t>
            </w:r>
            <w:r w:rsidR="00A27D2D">
              <w:rPr>
                <w:rFonts w:ascii="Garamond" w:hAnsi="Garamond"/>
                <w:b/>
              </w:rPr>
              <w:t xml:space="preserve">Charlotte : </w:t>
            </w:r>
            <w:r w:rsidR="00A27D2D">
              <w:rPr>
                <w:rFonts w:ascii="Garamond" w:hAnsi="Garamond"/>
              </w:rPr>
              <w:t xml:space="preserve">Par ma fy, </w:t>
            </w:r>
            <w:proofErr w:type="spellStart"/>
            <w:r w:rsidR="00A27D2D">
              <w:rPr>
                <w:rFonts w:ascii="Garamond" w:hAnsi="Garamond"/>
              </w:rPr>
              <w:t>Piarrot</w:t>
            </w:r>
            <w:proofErr w:type="spellEnd"/>
            <w:r w:rsidR="00A27D2D">
              <w:rPr>
                <w:rFonts w:ascii="Garamond" w:hAnsi="Garamond"/>
              </w:rPr>
              <w:t> » à « </w:t>
            </w:r>
            <w:r w:rsidR="00A27D2D">
              <w:rPr>
                <w:rFonts w:ascii="Garamond" w:hAnsi="Garamond"/>
                <w:b/>
              </w:rPr>
              <w:t xml:space="preserve">Charlotte : </w:t>
            </w:r>
            <w:r w:rsidR="00A27D2D">
              <w:rPr>
                <w:rFonts w:ascii="Garamond" w:hAnsi="Garamond"/>
              </w:rPr>
              <w:t>[…] ç’</w:t>
            </w:r>
            <w:proofErr w:type="spellStart"/>
            <w:r w:rsidR="00A27D2D">
              <w:rPr>
                <w:rFonts w:ascii="Garamond" w:hAnsi="Garamond"/>
              </w:rPr>
              <w:t>auroit</w:t>
            </w:r>
            <w:proofErr w:type="spellEnd"/>
            <w:r w:rsidR="00A27D2D">
              <w:rPr>
                <w:rFonts w:ascii="Garamond" w:hAnsi="Garamond"/>
              </w:rPr>
              <w:t xml:space="preserve"> </w:t>
            </w:r>
            <w:proofErr w:type="spellStart"/>
            <w:r w:rsidR="00A27D2D">
              <w:rPr>
                <w:rFonts w:ascii="Garamond" w:hAnsi="Garamond"/>
              </w:rPr>
              <w:t>esté</w:t>
            </w:r>
            <w:proofErr w:type="spellEnd"/>
            <w:r w:rsidR="00A27D2D">
              <w:rPr>
                <w:rFonts w:ascii="Garamond" w:hAnsi="Garamond"/>
              </w:rPr>
              <w:t xml:space="preserve"> dommage qu’il </w:t>
            </w:r>
            <w:proofErr w:type="spellStart"/>
            <w:r w:rsidR="00A27D2D">
              <w:rPr>
                <w:rFonts w:ascii="Garamond" w:hAnsi="Garamond"/>
              </w:rPr>
              <w:t>eust</w:t>
            </w:r>
            <w:proofErr w:type="spellEnd"/>
            <w:r w:rsidR="00A27D2D">
              <w:rPr>
                <w:rFonts w:ascii="Garamond" w:hAnsi="Garamond"/>
              </w:rPr>
              <w:t xml:space="preserve"> été </w:t>
            </w:r>
            <w:proofErr w:type="spellStart"/>
            <w:r w:rsidR="00A27D2D">
              <w:rPr>
                <w:rFonts w:ascii="Garamond" w:hAnsi="Garamond"/>
              </w:rPr>
              <w:t>nayé</w:t>
            </w:r>
            <w:proofErr w:type="spellEnd"/>
            <w:r w:rsidR="00A27D2D">
              <w:rPr>
                <w:rFonts w:ascii="Garamond" w:hAnsi="Garamond"/>
              </w:rPr>
              <w:t>. »</w:t>
            </w:r>
            <w:r w:rsidR="00EE16B6">
              <w:rPr>
                <w:rFonts w:ascii="Garamond" w:hAnsi="Garamond"/>
              </w:rPr>
              <w:t>,</w:t>
            </w:r>
            <w:r w:rsidR="00A27D2D">
              <w:rPr>
                <w:rFonts w:ascii="Garamond" w:hAnsi="Garamond"/>
              </w:rPr>
              <w:t xml:space="preserve"> </w:t>
            </w:r>
            <w:r w:rsidR="00EE16B6">
              <w:rPr>
                <w:rFonts w:ascii="Garamond" w:hAnsi="Garamond"/>
              </w:rPr>
              <w:t>Paris,</w:t>
            </w:r>
            <w:r w:rsidR="00FB2228" w:rsidRPr="00FB2228">
              <w:rPr>
                <w:rFonts w:ascii="Garamond" w:hAnsi="Garamond"/>
              </w:rPr>
              <w:t xml:space="preserve"> Folio classique, 1999, p. 58-62.</w:t>
            </w:r>
            <w:r w:rsidR="00EA0DAF">
              <w:rPr>
                <w:rFonts w:ascii="Garamond" w:hAnsi="Garamond"/>
                <w:i/>
              </w:rPr>
              <w:t xml:space="preserve"> </w:t>
            </w:r>
          </w:p>
          <w:p w:rsidR="004757DC" w:rsidRPr="00FB2228" w:rsidRDefault="00EE16B6" w:rsidP="00EE16B6">
            <w:pPr>
              <w:rPr>
                <w:b/>
              </w:rPr>
            </w:pPr>
            <w:r>
              <w:rPr>
                <w:rFonts w:ascii="Garamond" w:hAnsi="Garamond"/>
              </w:rPr>
              <w:t xml:space="preserve">- </w:t>
            </w:r>
            <w:r w:rsidR="004757DC" w:rsidRPr="00517964">
              <w:rPr>
                <w:rFonts w:ascii="Garamond" w:hAnsi="Garamond"/>
              </w:rPr>
              <w:t xml:space="preserve">extrait de Mme de Lafayette, </w:t>
            </w:r>
            <w:r w:rsidR="004757DC" w:rsidRPr="00517964">
              <w:rPr>
                <w:rFonts w:ascii="Garamond" w:hAnsi="Garamond"/>
                <w:i/>
              </w:rPr>
              <w:t>La Princesse de Clèves</w:t>
            </w:r>
            <w:r w:rsidR="00BF7521">
              <w:rPr>
                <w:rFonts w:ascii="Garamond" w:hAnsi="Garamond"/>
              </w:rPr>
              <w:t>, 1</w:t>
            </w:r>
            <w:r w:rsidR="00BF7521" w:rsidRPr="00BF7521">
              <w:rPr>
                <w:rFonts w:ascii="Garamond" w:hAnsi="Garamond"/>
                <w:vertAlign w:val="superscript"/>
              </w:rPr>
              <w:t>ère</w:t>
            </w:r>
            <w:r w:rsidR="00BF7521">
              <w:rPr>
                <w:rFonts w:ascii="Garamond" w:hAnsi="Garamond"/>
              </w:rPr>
              <w:t xml:space="preserve"> partie, de « Monsieur de Clèves se trouvait heureux… » à « elle ne les entendait pas. </w:t>
            </w:r>
            <w:r w:rsidR="00BF7521" w:rsidRPr="00EE16B6">
              <w:rPr>
                <w:rFonts w:ascii="Garamond" w:hAnsi="Garamond"/>
              </w:rPr>
              <w:t>»</w:t>
            </w:r>
            <w:r w:rsidR="00FB2228" w:rsidRPr="00EE16B6">
              <w:rPr>
                <w:rFonts w:ascii="Garamond" w:hAnsi="Garamond"/>
              </w:rPr>
              <w:t>,</w:t>
            </w:r>
            <w:r w:rsidR="00FB2228" w:rsidRPr="00EE16B6">
              <w:rPr>
                <w:rFonts w:ascii="Garamond" w:hAnsi="Garamond"/>
                <w:b/>
              </w:rPr>
              <w:t xml:space="preserve"> </w:t>
            </w:r>
            <w:r w:rsidRPr="00EE16B6">
              <w:rPr>
                <w:rFonts w:ascii="Garamond" w:hAnsi="Garamond"/>
              </w:rPr>
              <w:t>Paris,</w:t>
            </w:r>
            <w:r>
              <w:rPr>
                <w:b/>
              </w:rPr>
              <w:t xml:space="preserve"> </w:t>
            </w:r>
            <w:r w:rsidR="00FB2228" w:rsidRPr="00FB2228">
              <w:rPr>
                <w:rFonts w:ascii="Garamond" w:hAnsi="Garamond"/>
              </w:rPr>
              <w:t>Folio Classique (2000), p. 61-63.</w:t>
            </w:r>
          </w:p>
        </w:tc>
      </w:tr>
      <w:tr w:rsidR="006509E6" w:rsidRPr="00517964">
        <w:trPr>
          <w:trHeight w:val="1779"/>
        </w:trPr>
        <w:tc>
          <w:tcPr>
            <w:tcW w:w="2351" w:type="dxa"/>
          </w:tcPr>
          <w:p w:rsidR="006509E6" w:rsidRPr="00517964" w:rsidRDefault="006509E6">
            <w:pPr>
              <w:rPr>
                <w:rFonts w:ascii="Garamond" w:hAnsi="Garamond"/>
              </w:rPr>
            </w:pPr>
          </w:p>
          <w:p w:rsidR="006509E6" w:rsidRPr="00517964" w:rsidRDefault="006509E6">
            <w:pPr>
              <w:rPr>
                <w:rFonts w:ascii="Garamond" w:hAnsi="Garamond"/>
              </w:rPr>
            </w:pPr>
          </w:p>
          <w:p w:rsidR="00AF1674" w:rsidRPr="00517964" w:rsidRDefault="00AF1674" w:rsidP="006509E6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6509E6" w:rsidRPr="00517964" w:rsidRDefault="00AF1674" w:rsidP="006509E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17964">
              <w:rPr>
                <w:rFonts w:ascii="Garamond" w:hAnsi="Garamond"/>
                <w:b/>
                <w:sz w:val="24"/>
              </w:rPr>
              <w:t>III</w:t>
            </w:r>
          </w:p>
          <w:p w:rsidR="001822D0" w:rsidRDefault="006509E6" w:rsidP="006509E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17964">
              <w:rPr>
                <w:rFonts w:ascii="Garamond" w:hAnsi="Garamond"/>
                <w:b/>
                <w:sz w:val="24"/>
              </w:rPr>
              <w:t>Universitaire</w:t>
            </w:r>
          </w:p>
          <w:p w:rsidR="006509E6" w:rsidRPr="00517964" w:rsidRDefault="001822D0" w:rsidP="006509E6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2h</w:t>
            </w:r>
          </w:p>
        </w:tc>
        <w:tc>
          <w:tcPr>
            <w:tcW w:w="5590" w:type="dxa"/>
          </w:tcPr>
          <w:p w:rsidR="006509E6" w:rsidRPr="00517964" w:rsidRDefault="00C86F9E">
            <w:pPr>
              <w:rPr>
                <w:rFonts w:ascii="Garamond" w:hAnsi="Garamond"/>
              </w:rPr>
            </w:pPr>
            <w:r w:rsidRPr="00517964">
              <w:rPr>
                <w:rFonts w:ascii="Garamond" w:hAnsi="Garamond"/>
              </w:rPr>
              <w:t>« Vers une pensée</w:t>
            </w:r>
            <w:r w:rsidR="006509E6" w:rsidRPr="00517964">
              <w:rPr>
                <w:rFonts w:ascii="Garamond" w:hAnsi="Garamond"/>
              </w:rPr>
              <w:t xml:space="preserve"> de la littérature »</w:t>
            </w:r>
          </w:p>
          <w:p w:rsidR="006828F8" w:rsidRPr="00517964" w:rsidRDefault="00F355DD" w:rsidP="00D0096D">
            <w:pPr>
              <w:rPr>
                <w:rFonts w:ascii="Garamond" w:hAnsi="Garamond"/>
              </w:rPr>
            </w:pPr>
            <w:r w:rsidRPr="00517964">
              <w:rPr>
                <w:rFonts w:ascii="Garamond" w:hAnsi="Garamond"/>
              </w:rPr>
              <w:t>Réfléchir</w:t>
            </w:r>
            <w:r w:rsidR="004757DC" w:rsidRPr="00517964">
              <w:rPr>
                <w:rFonts w:ascii="Garamond" w:hAnsi="Garamond"/>
              </w:rPr>
              <w:t xml:space="preserve"> sur ce qu’est la littérature. </w:t>
            </w:r>
            <w:r w:rsidR="00D0096D" w:rsidRPr="00517964">
              <w:rPr>
                <w:rFonts w:ascii="Garamond" w:hAnsi="Garamond" w:cs="Times New Roman"/>
              </w:rPr>
              <w:t>É</w:t>
            </w:r>
            <w:r w:rsidRPr="00517964">
              <w:rPr>
                <w:rFonts w:ascii="Garamond" w:hAnsi="Garamond"/>
              </w:rPr>
              <w:t>tudier</w:t>
            </w:r>
            <w:r w:rsidR="004757DC" w:rsidRPr="00517964">
              <w:rPr>
                <w:rFonts w:ascii="Garamond" w:hAnsi="Garamond"/>
              </w:rPr>
              <w:t xml:space="preserve"> </w:t>
            </w:r>
            <w:r w:rsidRPr="00517964">
              <w:rPr>
                <w:rFonts w:ascii="Garamond" w:hAnsi="Garamond"/>
              </w:rPr>
              <w:t>le</w:t>
            </w:r>
            <w:r w:rsidR="006828F8" w:rsidRPr="00517964">
              <w:rPr>
                <w:rFonts w:ascii="Garamond" w:hAnsi="Garamond"/>
              </w:rPr>
              <w:t xml:space="preserve"> cas paradoxal de la réécriture du Quichotte par le personnage de Borges</w:t>
            </w:r>
            <w:r w:rsidRPr="00517964">
              <w:rPr>
                <w:rFonts w:ascii="Garamond" w:hAnsi="Garamond"/>
              </w:rPr>
              <w:t>, Pierre Ménard, afin de mettre en évidence l’é</w:t>
            </w:r>
            <w:r w:rsidR="006828F8" w:rsidRPr="00517964">
              <w:rPr>
                <w:rFonts w:ascii="Garamond" w:hAnsi="Garamond"/>
              </w:rPr>
              <w:t>quivocit</w:t>
            </w:r>
            <w:r w:rsidR="00C86F9E" w:rsidRPr="00517964">
              <w:rPr>
                <w:rFonts w:ascii="Garamond" w:hAnsi="Garamond"/>
              </w:rPr>
              <w:t>é de la littérature et</w:t>
            </w:r>
            <w:r w:rsidRPr="00517964">
              <w:rPr>
                <w:rFonts w:ascii="Garamond" w:hAnsi="Garamond"/>
              </w:rPr>
              <w:t xml:space="preserve"> la </w:t>
            </w:r>
            <w:r w:rsidR="006828F8" w:rsidRPr="00517964">
              <w:rPr>
                <w:rFonts w:ascii="Garamond" w:hAnsi="Garamond"/>
              </w:rPr>
              <w:t xml:space="preserve">plasticité de l’esprit qui permet de </w:t>
            </w:r>
            <w:r w:rsidR="00C86F9E" w:rsidRPr="00517964">
              <w:rPr>
                <w:rFonts w:ascii="Garamond" w:hAnsi="Garamond"/>
              </w:rPr>
              <w:t>se mettre à la place d’autrui. Ouvrir sur l</w:t>
            </w:r>
            <w:r w:rsidR="006828F8" w:rsidRPr="00517964">
              <w:rPr>
                <w:rFonts w:ascii="Garamond" w:hAnsi="Garamond"/>
              </w:rPr>
              <w:t>’empathie</w:t>
            </w:r>
            <w:r w:rsidR="00C86F9E" w:rsidRPr="00517964">
              <w:rPr>
                <w:rFonts w:ascii="Garamond" w:hAnsi="Garamond"/>
              </w:rPr>
              <w:t xml:space="preserve"> rendue possible</w:t>
            </w:r>
            <w:r w:rsidR="006828F8" w:rsidRPr="00517964">
              <w:rPr>
                <w:rFonts w:ascii="Garamond" w:hAnsi="Garamond"/>
              </w:rPr>
              <w:t xml:space="preserve"> par la littérature.</w:t>
            </w:r>
            <w:r w:rsidR="00C86F9E" w:rsidRPr="00517964">
              <w:rPr>
                <w:rFonts w:ascii="Garamond" w:hAnsi="Garamond"/>
              </w:rPr>
              <w:t xml:space="preserve"> </w:t>
            </w:r>
            <w:r w:rsidRPr="00517964">
              <w:rPr>
                <w:rFonts w:ascii="Garamond" w:hAnsi="Garamond"/>
              </w:rPr>
              <w:t>S’interroger sur la manière dont Proust pense la littérature</w:t>
            </w:r>
            <w:r w:rsidR="00C86F9E" w:rsidRPr="00517964">
              <w:rPr>
                <w:rFonts w:ascii="Garamond" w:hAnsi="Garamond"/>
              </w:rPr>
              <w:t xml:space="preserve"> (réécriture de la vie ?).</w:t>
            </w:r>
          </w:p>
        </w:tc>
        <w:tc>
          <w:tcPr>
            <w:tcW w:w="5908" w:type="dxa"/>
          </w:tcPr>
          <w:p w:rsidR="00EC7302" w:rsidRPr="00AE40F7" w:rsidRDefault="000D0385" w:rsidP="00EC7302">
            <w:pPr>
              <w:rPr>
                <w:b/>
                <w:szCs w:val="22"/>
              </w:rPr>
            </w:pPr>
            <w:r w:rsidRPr="00517964">
              <w:rPr>
                <w:rFonts w:ascii="Garamond" w:hAnsi="Garamond"/>
              </w:rPr>
              <w:t xml:space="preserve">- </w:t>
            </w:r>
            <w:r w:rsidRPr="00EE16B6">
              <w:rPr>
                <w:rFonts w:ascii="Garamond" w:hAnsi="Garamond"/>
                <w:b/>
              </w:rPr>
              <w:t>extrait Borges,</w:t>
            </w:r>
            <w:r w:rsidR="00EE16B6" w:rsidRPr="00EE16B6">
              <w:rPr>
                <w:rFonts w:ascii="Garamond" w:hAnsi="Garamond"/>
                <w:b/>
              </w:rPr>
              <w:t xml:space="preserve"> </w:t>
            </w:r>
            <w:r w:rsidR="00EC7302" w:rsidRPr="00EE16B6">
              <w:rPr>
                <w:rFonts w:ascii="Garamond" w:hAnsi="Garamond" w:cs="Times"/>
                <w:b/>
                <w:szCs w:val="22"/>
              </w:rPr>
              <w:t xml:space="preserve">« Pierre Ménard auteur du </w:t>
            </w:r>
            <w:r w:rsidR="00EC7302" w:rsidRPr="00EE16B6">
              <w:rPr>
                <w:rFonts w:ascii="Garamond" w:hAnsi="Garamond" w:cs="Times"/>
                <w:b/>
                <w:i/>
                <w:iCs/>
                <w:szCs w:val="22"/>
              </w:rPr>
              <w:t>Quichotte</w:t>
            </w:r>
            <w:r w:rsidR="00EC7302" w:rsidRPr="00EE16B6">
              <w:rPr>
                <w:rFonts w:ascii="Garamond" w:hAnsi="Garamond" w:cs="Times"/>
                <w:b/>
                <w:szCs w:val="22"/>
              </w:rPr>
              <w:t> »</w:t>
            </w:r>
            <w:r w:rsidR="00EC7302" w:rsidRPr="00EC7302">
              <w:rPr>
                <w:rFonts w:ascii="Garamond" w:hAnsi="Garamond" w:cs="Times"/>
                <w:szCs w:val="22"/>
              </w:rPr>
              <w:t xml:space="preserve">, dans </w:t>
            </w:r>
            <w:r w:rsidR="00EC7302" w:rsidRPr="00EC7302">
              <w:rPr>
                <w:rFonts w:ascii="Garamond" w:hAnsi="Garamond" w:cs="Times"/>
                <w:i/>
                <w:iCs/>
                <w:szCs w:val="22"/>
              </w:rPr>
              <w:t>Fictions</w:t>
            </w:r>
            <w:r w:rsidR="00EC7302" w:rsidRPr="00EC7302">
              <w:rPr>
                <w:rFonts w:ascii="Garamond" w:hAnsi="Garamond" w:cs="Times"/>
                <w:szCs w:val="22"/>
              </w:rPr>
              <w:t xml:space="preserve"> (1944), </w:t>
            </w:r>
            <w:r w:rsidR="00EE16B6" w:rsidRPr="00EC7302">
              <w:rPr>
                <w:rFonts w:ascii="Garamond" w:hAnsi="Garamond" w:cs="Times"/>
                <w:szCs w:val="22"/>
              </w:rPr>
              <w:t xml:space="preserve">pour la traduction </w:t>
            </w:r>
            <w:r w:rsidR="00EE16B6">
              <w:rPr>
                <w:rFonts w:ascii="Garamond" w:hAnsi="Garamond" w:cs="Times New Roman"/>
                <w:szCs w:val="22"/>
              </w:rPr>
              <w:t>française de P. </w:t>
            </w:r>
            <w:r w:rsidR="00EE16B6" w:rsidRPr="00EC7302">
              <w:rPr>
                <w:rFonts w:ascii="Garamond" w:hAnsi="Garamond" w:cs="Times New Roman"/>
                <w:szCs w:val="22"/>
              </w:rPr>
              <w:t>Verdevoye</w:t>
            </w:r>
            <w:r w:rsidR="00EE16B6">
              <w:rPr>
                <w:rFonts w:ascii="Garamond" w:hAnsi="Garamond" w:cs="Times New Roman"/>
                <w:szCs w:val="22"/>
              </w:rPr>
              <w:t>,</w:t>
            </w:r>
            <w:r w:rsidR="00EE16B6">
              <w:rPr>
                <w:rFonts w:ascii="Garamond" w:hAnsi="Garamond" w:cs="Times"/>
                <w:szCs w:val="22"/>
              </w:rPr>
              <w:t xml:space="preserve"> Paris,</w:t>
            </w:r>
            <w:r w:rsidR="00EC7302" w:rsidRPr="00EC7302">
              <w:rPr>
                <w:rFonts w:ascii="Garamond" w:hAnsi="Garamond" w:cs="Times"/>
                <w:szCs w:val="22"/>
              </w:rPr>
              <w:t xml:space="preserve"> Gallimard,</w:t>
            </w:r>
            <w:r w:rsidR="00EE16B6">
              <w:rPr>
                <w:rFonts w:ascii="Garamond" w:hAnsi="Garamond" w:cs="Times"/>
                <w:szCs w:val="22"/>
              </w:rPr>
              <w:t xml:space="preserve"> 1957</w:t>
            </w:r>
            <w:r w:rsidR="00EC7302" w:rsidRPr="00EC7302">
              <w:rPr>
                <w:rFonts w:ascii="Garamond" w:hAnsi="Garamond" w:cs="Times"/>
                <w:szCs w:val="22"/>
              </w:rPr>
              <w:t>, Folio, p. 63-74.</w:t>
            </w:r>
          </w:p>
          <w:p w:rsidR="000D0385" w:rsidRPr="00517964" w:rsidRDefault="000D0385" w:rsidP="000D0385">
            <w:pPr>
              <w:rPr>
                <w:rFonts w:ascii="Garamond" w:hAnsi="Garamond"/>
              </w:rPr>
            </w:pPr>
            <w:r w:rsidRPr="00517964">
              <w:rPr>
                <w:rFonts w:ascii="Garamond" w:hAnsi="Garamond"/>
              </w:rPr>
              <w:t xml:space="preserve">- </w:t>
            </w:r>
            <w:r w:rsidRPr="00EE16B6">
              <w:rPr>
                <w:rFonts w:ascii="Garamond" w:hAnsi="Garamond"/>
                <w:b/>
              </w:rPr>
              <w:t xml:space="preserve">extrait de Proust, </w:t>
            </w:r>
            <w:r w:rsidRPr="00EE16B6">
              <w:rPr>
                <w:rFonts w:ascii="Garamond" w:hAnsi="Garamond"/>
                <w:b/>
                <w:i/>
              </w:rPr>
              <w:t>Contre Sainte-Beuve</w:t>
            </w:r>
            <w:r w:rsidRPr="00517964">
              <w:rPr>
                <w:rFonts w:ascii="Garamond" w:hAnsi="Garamond"/>
              </w:rPr>
              <w:t xml:space="preserve"> (posthume, 1954)</w:t>
            </w:r>
            <w:r w:rsidR="00BF7521">
              <w:rPr>
                <w:rFonts w:ascii="Garamond" w:hAnsi="Garamond"/>
              </w:rPr>
              <w:t>, XVI, « Conclusion » de « Dès que je lisais un auteur » à « les faire renaître »</w:t>
            </w:r>
            <w:r w:rsidR="00FB2228">
              <w:rPr>
                <w:rFonts w:ascii="Garamond" w:hAnsi="Garamond"/>
              </w:rPr>
              <w:t xml:space="preserve">, </w:t>
            </w:r>
            <w:r w:rsidR="00BF7521" w:rsidRPr="00FB2228">
              <w:rPr>
                <w:rFonts w:ascii="Garamond" w:hAnsi="Garamond"/>
                <w:szCs w:val="22"/>
              </w:rPr>
              <w:t>Folio essais (1954), p. 295-296.</w:t>
            </w:r>
          </w:p>
          <w:p w:rsidR="004757DC" w:rsidRPr="00BF7521" w:rsidRDefault="004757DC" w:rsidP="00827577">
            <w:pPr>
              <w:rPr>
                <w:rFonts w:ascii="Garamond" w:hAnsi="Garamond"/>
              </w:rPr>
            </w:pPr>
            <w:r w:rsidRPr="00517964">
              <w:rPr>
                <w:rFonts w:ascii="Garamond" w:hAnsi="Garamond"/>
              </w:rPr>
              <w:t xml:space="preserve">- </w:t>
            </w:r>
            <w:r w:rsidRPr="00EE16B6">
              <w:rPr>
                <w:rFonts w:ascii="Garamond" w:hAnsi="Garamond"/>
                <w:b/>
              </w:rPr>
              <w:t xml:space="preserve">extrait de Proust, </w:t>
            </w:r>
            <w:r w:rsidRPr="00EE16B6">
              <w:rPr>
                <w:rFonts w:ascii="Garamond" w:hAnsi="Garamond"/>
                <w:b/>
                <w:i/>
              </w:rPr>
              <w:t>Le Temps retrouvé</w:t>
            </w:r>
            <w:r w:rsidR="00BF7521">
              <w:rPr>
                <w:rFonts w:ascii="Garamond" w:hAnsi="Garamond"/>
              </w:rPr>
              <w:t>, de « La grandeur de l’art véritable » à « nous envoient encore leur rayon spécial. » (Folio Classique, 1990, p. 202).</w:t>
            </w:r>
          </w:p>
        </w:tc>
      </w:tr>
      <w:tr w:rsidR="006509E6" w:rsidRPr="00517964">
        <w:trPr>
          <w:trHeight w:val="1133"/>
        </w:trPr>
        <w:tc>
          <w:tcPr>
            <w:tcW w:w="2351" w:type="dxa"/>
          </w:tcPr>
          <w:p w:rsidR="006509E6" w:rsidRPr="00517964" w:rsidRDefault="006509E6">
            <w:pPr>
              <w:rPr>
                <w:rFonts w:ascii="Garamond" w:hAnsi="Garamond"/>
                <w:sz w:val="24"/>
              </w:rPr>
            </w:pPr>
          </w:p>
          <w:p w:rsidR="006509E6" w:rsidRPr="00517964" w:rsidRDefault="00AF1674" w:rsidP="006509E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17964">
              <w:rPr>
                <w:rFonts w:ascii="Garamond" w:hAnsi="Garamond"/>
                <w:b/>
                <w:sz w:val="24"/>
              </w:rPr>
              <w:t>IV</w:t>
            </w:r>
          </w:p>
          <w:p w:rsidR="006509E6" w:rsidRPr="00517964" w:rsidRDefault="006509E6" w:rsidP="006509E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17964">
              <w:rPr>
                <w:rFonts w:ascii="Garamond" w:hAnsi="Garamond"/>
                <w:b/>
                <w:sz w:val="24"/>
              </w:rPr>
              <w:t>Professeur de la classe</w:t>
            </w:r>
            <w:r w:rsidR="001822D0">
              <w:rPr>
                <w:rFonts w:ascii="Garamond" w:hAnsi="Garamond"/>
                <w:b/>
                <w:sz w:val="24"/>
              </w:rPr>
              <w:t> : 2h</w:t>
            </w:r>
          </w:p>
        </w:tc>
        <w:tc>
          <w:tcPr>
            <w:tcW w:w="5590" w:type="dxa"/>
          </w:tcPr>
          <w:p w:rsidR="006509E6" w:rsidRPr="00517964" w:rsidRDefault="006509E6">
            <w:pPr>
              <w:rPr>
                <w:rFonts w:ascii="Garamond" w:hAnsi="Garamond"/>
              </w:rPr>
            </w:pPr>
          </w:p>
          <w:p w:rsidR="006509E6" w:rsidRPr="006E7B15" w:rsidRDefault="006509E6" w:rsidP="006E7B15">
            <w:pPr>
              <w:rPr>
                <w:rFonts w:ascii="Garamond" w:hAnsi="Garamond"/>
              </w:rPr>
            </w:pPr>
            <w:r w:rsidRPr="00517964">
              <w:rPr>
                <w:rFonts w:ascii="Garamond" w:hAnsi="Garamond"/>
              </w:rPr>
              <w:t xml:space="preserve">Lecture analytique d’un extrait de </w:t>
            </w:r>
            <w:r w:rsidRPr="00517964">
              <w:rPr>
                <w:rFonts w:ascii="Garamond" w:hAnsi="Garamond"/>
                <w:i/>
              </w:rPr>
              <w:t>Tite et Bérénice</w:t>
            </w:r>
            <w:r w:rsidRPr="00517964">
              <w:rPr>
                <w:rFonts w:ascii="Garamond" w:hAnsi="Garamond"/>
              </w:rPr>
              <w:t xml:space="preserve"> de Corneille</w:t>
            </w:r>
            <w:r w:rsidR="006E7B15">
              <w:rPr>
                <w:rFonts w:ascii="Garamond" w:hAnsi="Garamond"/>
              </w:rPr>
              <w:t xml:space="preserve"> qui réinvestit la problématisation et les remarques effectuées lors de la séance II, notamment en vue d’une comparaison avec la </w:t>
            </w:r>
            <w:r w:rsidR="006E7B15">
              <w:rPr>
                <w:rFonts w:ascii="Garamond" w:hAnsi="Garamond"/>
                <w:i/>
              </w:rPr>
              <w:t>Bérénice</w:t>
            </w:r>
            <w:r w:rsidR="006E7B15">
              <w:rPr>
                <w:rFonts w:ascii="Garamond" w:hAnsi="Garamond"/>
              </w:rPr>
              <w:t xml:space="preserve"> de Racine. Les éléments complémentaires (contexte de la querelle des Anciens et des modernes, de la rivalité entre Racine et Corneille) serviront à l’entretien.</w:t>
            </w:r>
          </w:p>
        </w:tc>
        <w:tc>
          <w:tcPr>
            <w:tcW w:w="5908" w:type="dxa"/>
          </w:tcPr>
          <w:p w:rsidR="006509E6" w:rsidRPr="00517964" w:rsidRDefault="006509E6">
            <w:pPr>
              <w:rPr>
                <w:rFonts w:ascii="Garamond" w:hAnsi="Garamond"/>
              </w:rPr>
            </w:pPr>
          </w:p>
          <w:p w:rsidR="000D0385" w:rsidRPr="00517964" w:rsidRDefault="000D0385">
            <w:pPr>
              <w:rPr>
                <w:rFonts w:ascii="Garamond" w:hAnsi="Garamond"/>
              </w:rPr>
            </w:pPr>
            <w:r w:rsidRPr="0066008A">
              <w:rPr>
                <w:rFonts w:ascii="Garamond" w:hAnsi="Garamond"/>
                <w:b/>
              </w:rPr>
              <w:t xml:space="preserve">Corneille, </w:t>
            </w:r>
            <w:r w:rsidRPr="0066008A">
              <w:rPr>
                <w:rFonts w:ascii="Garamond" w:hAnsi="Garamond"/>
                <w:b/>
                <w:i/>
              </w:rPr>
              <w:t>Tite et Bérénice</w:t>
            </w:r>
            <w:r w:rsidRPr="0066008A">
              <w:rPr>
                <w:rFonts w:ascii="Garamond" w:hAnsi="Garamond"/>
                <w:b/>
              </w:rPr>
              <w:t xml:space="preserve"> (V, 4</w:t>
            </w:r>
            <w:r w:rsidR="00EE16B6">
              <w:rPr>
                <w:rFonts w:ascii="Garamond" w:hAnsi="Garamond"/>
                <w:b/>
              </w:rPr>
              <w:t>,</w:t>
            </w:r>
            <w:r w:rsidR="00EE16B6">
              <w:rPr>
                <w:rFonts w:ascii="Garamond" w:hAnsi="Garamond"/>
              </w:rPr>
              <w:t xml:space="preserve"> </w:t>
            </w:r>
            <w:r w:rsidR="00EE16B6" w:rsidRPr="00EE16B6">
              <w:rPr>
                <w:rFonts w:ascii="Garamond" w:hAnsi="Garamond"/>
                <w:b/>
              </w:rPr>
              <w:t>v. 1599-1642</w:t>
            </w:r>
            <w:r w:rsidRPr="0066008A">
              <w:rPr>
                <w:rFonts w:ascii="Garamond" w:hAnsi="Garamond"/>
                <w:b/>
              </w:rPr>
              <w:t>)</w:t>
            </w:r>
            <w:r w:rsidRPr="00517964">
              <w:rPr>
                <w:rFonts w:ascii="Garamond" w:hAnsi="Garamond"/>
              </w:rPr>
              <w:t>, de Bérénice</w:t>
            </w:r>
            <w:r w:rsidR="0066008A">
              <w:rPr>
                <w:rFonts w:ascii="Garamond" w:hAnsi="Garamond"/>
              </w:rPr>
              <w:t> :</w:t>
            </w:r>
            <w:r w:rsidRPr="00517964">
              <w:rPr>
                <w:rFonts w:ascii="Garamond" w:hAnsi="Garamond"/>
              </w:rPr>
              <w:t xml:space="preserve"> « De ce qui m’est permis je sais mieux la mesure » à Tite</w:t>
            </w:r>
            <w:r w:rsidR="0066008A">
              <w:rPr>
                <w:rFonts w:ascii="Garamond" w:hAnsi="Garamond"/>
              </w:rPr>
              <w:t> :</w:t>
            </w:r>
            <w:r w:rsidRPr="00517964">
              <w:rPr>
                <w:rFonts w:ascii="Garamond" w:hAnsi="Garamond"/>
              </w:rPr>
              <w:t xml:space="preserve"> « Je quitterais l’empire et tout ce qui leur nuit. »</w:t>
            </w:r>
            <w:r w:rsidR="00743E09" w:rsidRPr="00517964">
              <w:rPr>
                <w:rFonts w:ascii="Garamond" w:hAnsi="Garamond"/>
              </w:rPr>
              <w:t xml:space="preserve"> </w:t>
            </w:r>
            <w:r w:rsidR="006828F8" w:rsidRPr="00517964">
              <w:rPr>
                <w:rFonts w:ascii="Garamond" w:hAnsi="Garamond"/>
                <w:b/>
              </w:rPr>
              <w:t>(Séance II</w:t>
            </w:r>
            <w:r w:rsidR="00743E09" w:rsidRPr="00517964">
              <w:rPr>
                <w:rFonts w:ascii="Garamond" w:hAnsi="Garamond"/>
                <w:b/>
              </w:rPr>
              <w:t xml:space="preserve">, </w:t>
            </w:r>
            <w:proofErr w:type="spellStart"/>
            <w:r w:rsidR="00743E09" w:rsidRPr="00517964">
              <w:rPr>
                <w:rFonts w:ascii="Garamond" w:hAnsi="Garamond"/>
                <w:b/>
              </w:rPr>
              <w:t>tx</w:t>
            </w:r>
            <w:proofErr w:type="spellEnd"/>
            <w:r w:rsidR="00743E09" w:rsidRPr="00517964">
              <w:rPr>
                <w:rFonts w:ascii="Garamond" w:hAnsi="Garamond"/>
                <w:b/>
              </w:rPr>
              <w:t xml:space="preserve"> </w:t>
            </w:r>
            <w:r w:rsidR="006E7B15">
              <w:rPr>
                <w:rFonts w:ascii="Garamond" w:hAnsi="Garamond"/>
                <w:b/>
              </w:rPr>
              <w:t>3)</w:t>
            </w:r>
          </w:p>
          <w:p w:rsidR="006509E6" w:rsidRPr="00517964" w:rsidRDefault="006509E6">
            <w:pPr>
              <w:rPr>
                <w:rFonts w:ascii="Garamond" w:hAnsi="Garamond"/>
              </w:rPr>
            </w:pPr>
          </w:p>
        </w:tc>
      </w:tr>
      <w:tr w:rsidR="006509E6" w:rsidRPr="00517964">
        <w:trPr>
          <w:trHeight w:val="840"/>
        </w:trPr>
        <w:tc>
          <w:tcPr>
            <w:tcW w:w="2351" w:type="dxa"/>
          </w:tcPr>
          <w:p w:rsidR="006509E6" w:rsidRPr="00517964" w:rsidRDefault="006509E6">
            <w:pPr>
              <w:rPr>
                <w:rFonts w:ascii="Garamond" w:hAnsi="Garamond"/>
                <w:sz w:val="24"/>
              </w:rPr>
            </w:pPr>
          </w:p>
          <w:p w:rsidR="006509E6" w:rsidRPr="00517964" w:rsidRDefault="00AF1674" w:rsidP="006509E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17964">
              <w:rPr>
                <w:rFonts w:ascii="Garamond" w:hAnsi="Garamond"/>
                <w:b/>
                <w:sz w:val="24"/>
              </w:rPr>
              <w:t>V</w:t>
            </w:r>
          </w:p>
          <w:p w:rsidR="006509E6" w:rsidRPr="00517964" w:rsidRDefault="006509E6" w:rsidP="006509E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17964">
              <w:rPr>
                <w:rFonts w:ascii="Garamond" w:hAnsi="Garamond"/>
                <w:b/>
                <w:sz w:val="24"/>
              </w:rPr>
              <w:t>Professeur de la classe</w:t>
            </w:r>
            <w:r w:rsidR="001822D0">
              <w:rPr>
                <w:rFonts w:ascii="Garamond" w:hAnsi="Garamond"/>
                <w:b/>
                <w:sz w:val="24"/>
              </w:rPr>
              <w:t> : 2h</w:t>
            </w:r>
          </w:p>
        </w:tc>
        <w:tc>
          <w:tcPr>
            <w:tcW w:w="5590" w:type="dxa"/>
          </w:tcPr>
          <w:p w:rsidR="006509E6" w:rsidRPr="00517964" w:rsidRDefault="006509E6">
            <w:pPr>
              <w:rPr>
                <w:rFonts w:ascii="Garamond" w:hAnsi="Garamond"/>
              </w:rPr>
            </w:pPr>
          </w:p>
          <w:p w:rsidR="006509E6" w:rsidRPr="006E7B15" w:rsidRDefault="006509E6">
            <w:pPr>
              <w:rPr>
                <w:rFonts w:ascii="Garamond" w:hAnsi="Garamond"/>
              </w:rPr>
            </w:pPr>
            <w:r w:rsidRPr="00517964">
              <w:rPr>
                <w:rFonts w:ascii="Garamond" w:hAnsi="Garamond"/>
              </w:rPr>
              <w:t xml:space="preserve">Lecture analytique d’un extrait de </w:t>
            </w:r>
            <w:r w:rsidRPr="00517964">
              <w:rPr>
                <w:rFonts w:ascii="Garamond" w:hAnsi="Garamond"/>
                <w:i/>
              </w:rPr>
              <w:t>Bérénice de Racine</w:t>
            </w:r>
            <w:r w:rsidR="006E7B15">
              <w:rPr>
                <w:rFonts w:ascii="Garamond" w:hAnsi="Garamond"/>
              </w:rPr>
              <w:t xml:space="preserve"> qui réinvestit la problématisation et les remarques effectuées lors de la séance II, notamment en vue d’une comparaison avec </w:t>
            </w:r>
            <w:r w:rsidR="006E7B15">
              <w:rPr>
                <w:rFonts w:ascii="Garamond" w:hAnsi="Garamond"/>
                <w:i/>
              </w:rPr>
              <w:t>Tite et Bérénice</w:t>
            </w:r>
            <w:r w:rsidR="006E7B15">
              <w:rPr>
                <w:rFonts w:ascii="Garamond" w:hAnsi="Garamond"/>
              </w:rPr>
              <w:t xml:space="preserve"> de Corneille. Les éléments complémentaires (contexte de la querelle des Anciens et des Modernes, rivalité entre Racine et Corneille) serviront à l’entretien.</w:t>
            </w:r>
          </w:p>
        </w:tc>
        <w:tc>
          <w:tcPr>
            <w:tcW w:w="5908" w:type="dxa"/>
          </w:tcPr>
          <w:p w:rsidR="006509E6" w:rsidRPr="00517964" w:rsidRDefault="006509E6">
            <w:pPr>
              <w:rPr>
                <w:rFonts w:ascii="Garamond" w:hAnsi="Garamond"/>
              </w:rPr>
            </w:pPr>
          </w:p>
          <w:p w:rsidR="000D0385" w:rsidRPr="00517964" w:rsidRDefault="000D0385">
            <w:pPr>
              <w:rPr>
                <w:rFonts w:ascii="Garamond" w:hAnsi="Garamond"/>
              </w:rPr>
            </w:pPr>
            <w:r w:rsidRPr="0066008A">
              <w:rPr>
                <w:rFonts w:ascii="Garamond" w:hAnsi="Garamond"/>
                <w:b/>
              </w:rPr>
              <w:t xml:space="preserve">Racine, </w:t>
            </w:r>
            <w:r w:rsidRPr="0066008A">
              <w:rPr>
                <w:rFonts w:ascii="Garamond" w:hAnsi="Garamond"/>
                <w:b/>
                <w:i/>
              </w:rPr>
              <w:t xml:space="preserve">Bérénice </w:t>
            </w:r>
            <w:r w:rsidRPr="0066008A">
              <w:rPr>
                <w:rFonts w:ascii="Garamond" w:hAnsi="Garamond"/>
                <w:b/>
              </w:rPr>
              <w:t>(IV, 5</w:t>
            </w:r>
            <w:r w:rsidR="00EE16B6">
              <w:rPr>
                <w:rFonts w:ascii="Garamond" w:hAnsi="Garamond"/>
                <w:b/>
              </w:rPr>
              <w:t xml:space="preserve">, </w:t>
            </w:r>
            <w:r w:rsidR="00063896" w:rsidRPr="00063896">
              <w:rPr>
                <w:rFonts w:ascii="Garamond" w:hAnsi="Garamond"/>
                <w:b/>
              </w:rPr>
              <w:t>v. 1073-1159</w:t>
            </w:r>
            <w:r w:rsidRPr="0066008A">
              <w:rPr>
                <w:rFonts w:ascii="Garamond" w:hAnsi="Garamond"/>
                <w:b/>
              </w:rPr>
              <w:t>)</w:t>
            </w:r>
            <w:r w:rsidRPr="00517964">
              <w:rPr>
                <w:rFonts w:ascii="Garamond" w:hAnsi="Garamond"/>
              </w:rPr>
              <w:t>, de Bérénice</w:t>
            </w:r>
            <w:r w:rsidR="0066008A">
              <w:rPr>
                <w:rFonts w:ascii="Garamond" w:hAnsi="Garamond"/>
              </w:rPr>
              <w:t> :</w:t>
            </w:r>
            <w:r w:rsidRPr="00517964">
              <w:rPr>
                <w:rFonts w:ascii="Garamond" w:hAnsi="Garamond"/>
              </w:rPr>
              <w:t xml:space="preserve"> « Tout l’empire a vingt fois conspiré contre nous » à Titus</w:t>
            </w:r>
            <w:r w:rsidR="0066008A">
              <w:rPr>
                <w:rFonts w:ascii="Garamond" w:hAnsi="Garamond"/>
              </w:rPr>
              <w:t> :</w:t>
            </w:r>
            <w:r w:rsidRPr="00517964">
              <w:rPr>
                <w:rFonts w:ascii="Garamond" w:hAnsi="Garamond"/>
              </w:rPr>
              <w:t xml:space="preserve"> « Rome a de mes pareils exercé la constance. »</w:t>
            </w:r>
            <w:r w:rsidR="00743E09" w:rsidRPr="00517964">
              <w:rPr>
                <w:rFonts w:ascii="Garamond" w:hAnsi="Garamond"/>
              </w:rPr>
              <w:t xml:space="preserve"> </w:t>
            </w:r>
            <w:r w:rsidR="00743E09" w:rsidRPr="00517964">
              <w:rPr>
                <w:rFonts w:ascii="Garamond" w:hAnsi="Garamond"/>
                <w:b/>
              </w:rPr>
              <w:t xml:space="preserve">(Séance II, </w:t>
            </w:r>
            <w:proofErr w:type="spellStart"/>
            <w:r w:rsidR="00743E09" w:rsidRPr="00517964">
              <w:rPr>
                <w:rFonts w:ascii="Garamond" w:hAnsi="Garamond"/>
                <w:b/>
              </w:rPr>
              <w:t>tx</w:t>
            </w:r>
            <w:proofErr w:type="spellEnd"/>
            <w:r w:rsidR="00743E09" w:rsidRPr="00517964">
              <w:rPr>
                <w:rFonts w:ascii="Garamond" w:hAnsi="Garamond"/>
                <w:b/>
              </w:rPr>
              <w:t xml:space="preserve"> 2)</w:t>
            </w:r>
          </w:p>
        </w:tc>
      </w:tr>
      <w:tr w:rsidR="006509E6" w:rsidRPr="00517964">
        <w:trPr>
          <w:trHeight w:val="1144"/>
        </w:trPr>
        <w:tc>
          <w:tcPr>
            <w:tcW w:w="2351" w:type="dxa"/>
          </w:tcPr>
          <w:p w:rsidR="006509E6" w:rsidRPr="00517964" w:rsidRDefault="006509E6">
            <w:pPr>
              <w:rPr>
                <w:rFonts w:ascii="Garamond" w:hAnsi="Garamond"/>
                <w:sz w:val="24"/>
              </w:rPr>
            </w:pPr>
          </w:p>
          <w:p w:rsidR="006509E6" w:rsidRPr="00517964" w:rsidRDefault="00AF1674" w:rsidP="006509E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17964">
              <w:rPr>
                <w:rFonts w:ascii="Garamond" w:hAnsi="Garamond"/>
                <w:b/>
                <w:sz w:val="24"/>
              </w:rPr>
              <w:t>VI</w:t>
            </w:r>
          </w:p>
          <w:p w:rsidR="006509E6" w:rsidRPr="00517964" w:rsidRDefault="006509E6" w:rsidP="006509E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17964">
              <w:rPr>
                <w:rFonts w:ascii="Garamond" w:hAnsi="Garamond"/>
                <w:b/>
                <w:sz w:val="24"/>
              </w:rPr>
              <w:t>Professeur de la classe</w:t>
            </w:r>
            <w:r w:rsidR="001822D0">
              <w:rPr>
                <w:rFonts w:ascii="Garamond" w:hAnsi="Garamond"/>
                <w:b/>
                <w:sz w:val="24"/>
              </w:rPr>
              <w:t> : 2h</w:t>
            </w:r>
          </w:p>
        </w:tc>
        <w:tc>
          <w:tcPr>
            <w:tcW w:w="5590" w:type="dxa"/>
          </w:tcPr>
          <w:p w:rsidR="006509E6" w:rsidRPr="00517964" w:rsidRDefault="006509E6">
            <w:pPr>
              <w:rPr>
                <w:rFonts w:ascii="Garamond" w:hAnsi="Garamond"/>
              </w:rPr>
            </w:pPr>
          </w:p>
          <w:p w:rsidR="00C86F9E" w:rsidRPr="00517964" w:rsidRDefault="00C86F9E">
            <w:pPr>
              <w:rPr>
                <w:rFonts w:ascii="Garamond" w:hAnsi="Garamond"/>
              </w:rPr>
            </w:pPr>
          </w:p>
          <w:p w:rsidR="006509E6" w:rsidRPr="00517964" w:rsidRDefault="006509E6">
            <w:pPr>
              <w:rPr>
                <w:rFonts w:ascii="Garamond" w:hAnsi="Garamond"/>
              </w:rPr>
            </w:pPr>
            <w:r w:rsidRPr="00517964">
              <w:rPr>
                <w:rFonts w:ascii="Garamond" w:hAnsi="Garamond"/>
              </w:rPr>
              <w:t>Lecture cursive des textes complémentaires</w:t>
            </w:r>
            <w:r w:rsidR="006E7B15">
              <w:rPr>
                <w:rFonts w:ascii="Garamond" w:hAnsi="Garamond"/>
              </w:rPr>
              <w:t xml:space="preserve"> (en vue de l’entretien)</w:t>
            </w:r>
            <w:r w:rsidRPr="00517964">
              <w:rPr>
                <w:rFonts w:ascii="Garamond" w:hAnsi="Garamond"/>
              </w:rPr>
              <w:t>.</w:t>
            </w:r>
            <w:r w:rsidR="006E7B15">
              <w:rPr>
                <w:rFonts w:ascii="Garamond" w:hAnsi="Garamond"/>
              </w:rPr>
              <w:t xml:space="preserve"> Réinvestissement de la réflexion menée sur la notion de </w:t>
            </w:r>
            <w:r w:rsidR="006E7B15" w:rsidRPr="006E7B15">
              <w:rPr>
                <w:rFonts w:ascii="Garamond" w:hAnsi="Garamond"/>
                <w:i/>
              </w:rPr>
              <w:t>mimesis</w:t>
            </w:r>
            <w:r w:rsidR="006E7B15">
              <w:rPr>
                <w:rFonts w:ascii="Garamond" w:hAnsi="Garamond"/>
              </w:rPr>
              <w:t xml:space="preserve">, de palimpseste, et du traitement varié d’un même thème (le doute amoureux). </w:t>
            </w:r>
          </w:p>
        </w:tc>
        <w:tc>
          <w:tcPr>
            <w:tcW w:w="5908" w:type="dxa"/>
          </w:tcPr>
          <w:p w:rsidR="006509E6" w:rsidRPr="00517964" w:rsidRDefault="006509E6">
            <w:pPr>
              <w:rPr>
                <w:rFonts w:ascii="Garamond" w:hAnsi="Garamond"/>
              </w:rPr>
            </w:pPr>
            <w:r w:rsidRPr="00517964">
              <w:rPr>
                <w:rFonts w:ascii="Garamond" w:hAnsi="Garamond"/>
              </w:rPr>
              <w:t xml:space="preserve">- </w:t>
            </w:r>
            <w:r w:rsidRPr="00063896">
              <w:rPr>
                <w:rFonts w:ascii="Garamond" w:hAnsi="Garamond"/>
                <w:b/>
              </w:rPr>
              <w:t>La Fontaine, un extrait de l’ « Epître à Monseigneur Hue</w:t>
            </w:r>
            <w:r w:rsidR="00743E09" w:rsidRPr="00063896">
              <w:rPr>
                <w:rFonts w:ascii="Garamond" w:hAnsi="Garamond"/>
                <w:b/>
              </w:rPr>
              <w:t>t »</w:t>
            </w:r>
            <w:r w:rsidR="00743E09" w:rsidRPr="00517964">
              <w:rPr>
                <w:rFonts w:ascii="Garamond" w:hAnsi="Garamond"/>
              </w:rPr>
              <w:t xml:space="preserve"> sur l’imitation non servile </w:t>
            </w:r>
            <w:r w:rsidR="00743E09" w:rsidRPr="00517964">
              <w:rPr>
                <w:rFonts w:ascii="Garamond" w:hAnsi="Garamond"/>
                <w:b/>
              </w:rPr>
              <w:t xml:space="preserve">(Séance II, </w:t>
            </w:r>
            <w:proofErr w:type="spellStart"/>
            <w:r w:rsidR="00743E09" w:rsidRPr="00517964">
              <w:rPr>
                <w:rFonts w:ascii="Garamond" w:hAnsi="Garamond"/>
                <w:b/>
              </w:rPr>
              <w:t>tx</w:t>
            </w:r>
            <w:proofErr w:type="spellEnd"/>
            <w:r w:rsidR="00743E09" w:rsidRPr="00517964">
              <w:rPr>
                <w:rFonts w:ascii="Garamond" w:hAnsi="Garamond"/>
                <w:b/>
              </w:rPr>
              <w:t xml:space="preserve"> 4)</w:t>
            </w:r>
          </w:p>
          <w:p w:rsidR="006509E6" w:rsidRPr="00517964" w:rsidRDefault="006509E6">
            <w:pPr>
              <w:rPr>
                <w:rFonts w:ascii="Garamond" w:hAnsi="Garamond"/>
              </w:rPr>
            </w:pPr>
            <w:r w:rsidRPr="00517964">
              <w:rPr>
                <w:rFonts w:ascii="Garamond" w:hAnsi="Garamond"/>
              </w:rPr>
              <w:t xml:space="preserve">- </w:t>
            </w:r>
            <w:r w:rsidRPr="00063896">
              <w:rPr>
                <w:rFonts w:ascii="Garamond" w:hAnsi="Garamond"/>
                <w:b/>
              </w:rPr>
              <w:t>Genette</w:t>
            </w:r>
            <w:r w:rsidRPr="00517964">
              <w:rPr>
                <w:rFonts w:ascii="Garamond" w:hAnsi="Garamond"/>
              </w:rPr>
              <w:t xml:space="preserve">, un extrait de </w:t>
            </w:r>
            <w:r w:rsidRPr="00063896">
              <w:rPr>
                <w:rFonts w:ascii="Garamond" w:hAnsi="Garamond"/>
                <w:b/>
                <w:i/>
              </w:rPr>
              <w:t>Palimpsest</w:t>
            </w:r>
            <w:r w:rsidR="00743E09" w:rsidRPr="00063896">
              <w:rPr>
                <w:rFonts w:ascii="Garamond" w:hAnsi="Garamond"/>
                <w:b/>
                <w:i/>
              </w:rPr>
              <w:t>es</w:t>
            </w:r>
            <w:r w:rsidR="00743E09" w:rsidRPr="00517964">
              <w:rPr>
                <w:rFonts w:ascii="Garamond" w:hAnsi="Garamond"/>
              </w:rPr>
              <w:t xml:space="preserve"> </w:t>
            </w:r>
            <w:r w:rsidR="00743E09" w:rsidRPr="00517964">
              <w:rPr>
                <w:rFonts w:ascii="Garamond" w:hAnsi="Garamond"/>
                <w:b/>
              </w:rPr>
              <w:t xml:space="preserve">(Séance I, </w:t>
            </w:r>
            <w:proofErr w:type="spellStart"/>
            <w:r w:rsidR="00743E09" w:rsidRPr="00517964">
              <w:rPr>
                <w:rFonts w:ascii="Garamond" w:hAnsi="Garamond"/>
                <w:b/>
              </w:rPr>
              <w:t>tx</w:t>
            </w:r>
            <w:proofErr w:type="spellEnd"/>
            <w:r w:rsidR="00743E09" w:rsidRPr="00517964">
              <w:rPr>
                <w:rFonts w:ascii="Garamond" w:hAnsi="Garamond"/>
                <w:b/>
              </w:rPr>
              <w:t xml:space="preserve"> 1)</w:t>
            </w:r>
          </w:p>
          <w:p w:rsidR="006509E6" w:rsidRPr="00517964" w:rsidRDefault="006509E6">
            <w:pPr>
              <w:rPr>
                <w:rFonts w:ascii="Garamond" w:hAnsi="Garamond"/>
              </w:rPr>
            </w:pPr>
            <w:r w:rsidRPr="00517964">
              <w:rPr>
                <w:rFonts w:ascii="Garamond" w:hAnsi="Garamond"/>
              </w:rPr>
              <w:t xml:space="preserve">- Comparaison de deux scènes réécrivant le même thème (le doute amoureux) : un extrait de </w:t>
            </w:r>
            <w:r w:rsidRPr="00063896">
              <w:rPr>
                <w:rFonts w:ascii="Garamond" w:hAnsi="Garamond"/>
                <w:b/>
                <w:i/>
              </w:rPr>
              <w:t xml:space="preserve">Dom Juan </w:t>
            </w:r>
            <w:r w:rsidRPr="00063896">
              <w:rPr>
                <w:rFonts w:ascii="Garamond" w:hAnsi="Garamond"/>
                <w:b/>
              </w:rPr>
              <w:t>de Molière</w:t>
            </w:r>
            <w:r w:rsidRPr="00517964">
              <w:rPr>
                <w:rFonts w:ascii="Garamond" w:hAnsi="Garamond"/>
              </w:rPr>
              <w:t xml:space="preserve"> et un extrait de </w:t>
            </w:r>
            <w:r w:rsidRPr="00063896">
              <w:rPr>
                <w:rFonts w:ascii="Garamond" w:hAnsi="Garamond"/>
                <w:b/>
                <w:i/>
              </w:rPr>
              <w:t>La Princesse de Clèves</w:t>
            </w:r>
            <w:r w:rsidR="00743E09" w:rsidRPr="00517964">
              <w:rPr>
                <w:rFonts w:ascii="Garamond" w:hAnsi="Garamond"/>
              </w:rPr>
              <w:t xml:space="preserve"> </w:t>
            </w:r>
            <w:r w:rsidR="00743E09" w:rsidRPr="00517964">
              <w:rPr>
                <w:rFonts w:ascii="Garamond" w:hAnsi="Garamond"/>
                <w:b/>
              </w:rPr>
              <w:t xml:space="preserve">(Séance II, </w:t>
            </w:r>
            <w:proofErr w:type="spellStart"/>
            <w:r w:rsidR="00743E09" w:rsidRPr="00517964">
              <w:rPr>
                <w:rFonts w:ascii="Garamond" w:hAnsi="Garamond"/>
                <w:b/>
              </w:rPr>
              <w:t>tx</w:t>
            </w:r>
            <w:proofErr w:type="spellEnd"/>
            <w:r w:rsidR="00743E09" w:rsidRPr="00517964">
              <w:rPr>
                <w:rFonts w:ascii="Garamond" w:hAnsi="Garamond"/>
                <w:b/>
              </w:rPr>
              <w:t xml:space="preserve"> 5 &amp; 6)</w:t>
            </w:r>
          </w:p>
        </w:tc>
      </w:tr>
    </w:tbl>
    <w:p w:rsidR="00D11553" w:rsidRPr="00517964" w:rsidRDefault="00D11553">
      <w:pPr>
        <w:rPr>
          <w:rFonts w:ascii="Garamond" w:hAnsi="Garamond"/>
        </w:rPr>
      </w:pPr>
    </w:p>
    <w:sectPr w:rsidR="00D11553" w:rsidRPr="00517964" w:rsidSect="006E7B15">
      <w:pgSz w:w="16840" w:h="11900" w:orient="landscape"/>
      <w:pgMar w:top="993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3006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E6"/>
    <w:rsid w:val="00063896"/>
    <w:rsid w:val="000D0385"/>
    <w:rsid w:val="000D7C53"/>
    <w:rsid w:val="0011667F"/>
    <w:rsid w:val="0015714F"/>
    <w:rsid w:val="001822D0"/>
    <w:rsid w:val="001B6136"/>
    <w:rsid w:val="003448D0"/>
    <w:rsid w:val="003B3B39"/>
    <w:rsid w:val="004757DC"/>
    <w:rsid w:val="00517964"/>
    <w:rsid w:val="005D630A"/>
    <w:rsid w:val="005E4870"/>
    <w:rsid w:val="006509E6"/>
    <w:rsid w:val="0066008A"/>
    <w:rsid w:val="006828F8"/>
    <w:rsid w:val="006E7B15"/>
    <w:rsid w:val="00742F75"/>
    <w:rsid w:val="00743E09"/>
    <w:rsid w:val="00764B54"/>
    <w:rsid w:val="00827577"/>
    <w:rsid w:val="008A6B25"/>
    <w:rsid w:val="008E4A7D"/>
    <w:rsid w:val="008E54B1"/>
    <w:rsid w:val="008F7B7C"/>
    <w:rsid w:val="00902454"/>
    <w:rsid w:val="00A27D2D"/>
    <w:rsid w:val="00A47EF0"/>
    <w:rsid w:val="00AF1674"/>
    <w:rsid w:val="00BF37F9"/>
    <w:rsid w:val="00BF6D5B"/>
    <w:rsid w:val="00BF7521"/>
    <w:rsid w:val="00C86F9E"/>
    <w:rsid w:val="00D0096D"/>
    <w:rsid w:val="00D11553"/>
    <w:rsid w:val="00D7092C"/>
    <w:rsid w:val="00E04F66"/>
    <w:rsid w:val="00EA0DAF"/>
    <w:rsid w:val="00EC7302"/>
    <w:rsid w:val="00EE16B6"/>
    <w:rsid w:val="00F355DD"/>
    <w:rsid w:val="00FB22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66"/>
    <w:pPr>
      <w:jc w:val="both"/>
    </w:pPr>
    <w:rPr>
      <w:rFonts w:ascii="Times New Roman" w:hAnsi="Times New Roman"/>
      <w:sz w:val="22"/>
      <w:szCs w:val="24"/>
    </w:rPr>
  </w:style>
  <w:style w:type="paragraph" w:styleId="Titre1">
    <w:name w:val="heading 1"/>
    <w:basedOn w:val="Normal"/>
    <w:next w:val="Normal"/>
    <w:qFormat/>
    <w:rsid w:val="003A0133"/>
    <w:pPr>
      <w:keepNext/>
      <w:spacing w:after="60"/>
      <w:outlineLvl w:val="0"/>
    </w:pPr>
    <w:rPr>
      <w:rFonts w:ascii="Didot" w:hAnsi="Didot"/>
      <w:b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3448D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48D0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48D0"/>
    <w:rPr>
      <w:rFonts w:ascii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48D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48D0"/>
    <w:rPr>
      <w:rFonts w:ascii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8D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8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66"/>
    <w:pPr>
      <w:jc w:val="both"/>
    </w:pPr>
    <w:rPr>
      <w:rFonts w:ascii="Times New Roman" w:hAnsi="Times New Roman"/>
      <w:sz w:val="22"/>
      <w:szCs w:val="24"/>
    </w:rPr>
  </w:style>
  <w:style w:type="paragraph" w:styleId="Titre1">
    <w:name w:val="heading 1"/>
    <w:basedOn w:val="Normal"/>
    <w:next w:val="Normal"/>
    <w:qFormat/>
    <w:rsid w:val="003A0133"/>
    <w:pPr>
      <w:keepNext/>
      <w:spacing w:after="60"/>
      <w:outlineLvl w:val="0"/>
    </w:pPr>
    <w:rPr>
      <w:rFonts w:ascii="Didot" w:hAnsi="Didot"/>
      <w:b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3448D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48D0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48D0"/>
    <w:rPr>
      <w:rFonts w:ascii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48D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48D0"/>
    <w:rPr>
      <w:rFonts w:ascii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8D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8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958</Words>
  <Characters>5271</Characters>
  <Application>Microsoft Macintosh Word</Application>
  <DocSecurity>0</DocSecurity>
  <Lines>43</Lines>
  <Paragraphs>12</Paragraphs>
  <ScaleCrop>false</ScaleCrop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Burette</dc:creator>
  <cp:keywords/>
  <dc:description/>
  <cp:lastModifiedBy>Stephanie Burette</cp:lastModifiedBy>
  <cp:revision>2</cp:revision>
  <dcterms:created xsi:type="dcterms:W3CDTF">2015-10-14T22:21:00Z</dcterms:created>
  <dcterms:modified xsi:type="dcterms:W3CDTF">2015-10-14T22:21:00Z</dcterms:modified>
</cp:coreProperties>
</file>