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32"/>
          <w:szCs w:val="32"/>
          <w:u w:val="single"/>
        </w:rPr>
      </w:pPr>
      <w:r>
        <w:rPr>
          <w:b/>
          <w:bCs/>
          <w:sz w:val="32"/>
          <w:szCs w:val="32"/>
          <w:u w:val="single"/>
        </w:rPr>
        <w:t>DOCUMENT : Séance 8</w:t>
      </w:r>
    </w:p>
    <w:p>
      <w:pPr>
        <w:pStyle w:val="style0"/>
        <w:rPr/>
      </w:pPr>
      <w:r>
        <w:rPr/>
      </w:r>
    </w:p>
    <w:p>
      <w:pPr>
        <w:pStyle w:val="style0"/>
        <w:rPr/>
      </w:pPr>
      <w:r>
        <w:rPr/>
      </w:r>
    </w:p>
    <w:p>
      <w:pPr>
        <w:pStyle w:val="style0"/>
        <w:rPr/>
      </w:pPr>
      <w:r>
        <w:rPr/>
      </w:r>
    </w:p>
    <w:tbl>
      <w:tblPr>
        <w:jc w:val="left"/>
        <w:tblInd w:type="dxa" w:w="4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42"/>
          <w:bottom w:type="dxa" w:w="55"/>
          <w:right w:type="dxa" w:w="55"/>
        </w:tblCellMar>
      </w:tblPr>
      <w:tblGrid>
        <w:gridCol w:w="9638"/>
      </w:tblGrid>
      <w:tr>
        <w:trPr>
          <w:cantSplit w:val="false"/>
        </w:trPr>
        <w:tc>
          <w:tcPr>
            <w:tcW w:type="dxa" w:w="9638"/>
            <w:tcBorders>
              <w:top w:color="000001" w:space="0" w:sz="2" w:val="single"/>
              <w:left w:color="000001" w:space="0" w:sz="2" w:val="single"/>
              <w:bottom w:color="000001" w:space="0" w:sz="2" w:val="single"/>
              <w:right w:color="000001" w:space="0" w:sz="2" w:val="single"/>
            </w:tcBorders>
            <w:shd w:fill="CCCCCC" w:val="clear"/>
            <w:tcMar>
              <w:left w:type="dxa" w:w="42"/>
            </w:tcMar>
            <w:vAlign w:val="center"/>
          </w:tcPr>
          <w:p>
            <w:pPr>
              <w:pStyle w:val="style0"/>
              <w:jc w:val="center"/>
              <w:rPr>
                <w:b/>
                <w:bCs/>
                <w:sz w:val="24"/>
                <w:szCs w:val="24"/>
                <w:u w:val="none"/>
              </w:rPr>
            </w:pPr>
            <w:r>
              <w:rPr>
                <w:b/>
                <w:bCs/>
                <w:sz w:val="24"/>
                <w:szCs w:val="24"/>
                <w:u w:val="none"/>
              </w:rPr>
              <w:t xml:space="preserve">Socrate le Scolastique, </w:t>
            </w:r>
            <w:r>
              <w:rPr>
                <w:b/>
                <w:bCs/>
                <w:i/>
                <w:iCs/>
                <w:sz w:val="24"/>
                <w:szCs w:val="24"/>
                <w:u w:val="none"/>
              </w:rPr>
              <w:t>Histoire ecclésiastique</w:t>
            </w:r>
            <w:r>
              <w:rPr>
                <w:b/>
                <w:bCs/>
                <w:sz w:val="24"/>
                <w:szCs w:val="24"/>
                <w:u w:val="none"/>
              </w:rPr>
              <w:t>, VII, 15</w:t>
            </w:r>
          </w:p>
        </w:tc>
      </w:tr>
      <w:tr>
        <w:trPr>
          <w:cantSplit w:val="false"/>
        </w:trPr>
        <w:tc>
          <w:tcPr>
            <w:tcW w:type="dxa" w:w="9638"/>
            <w:tcBorders>
              <w:top w:val="nil"/>
              <w:left w:color="000001" w:space="0" w:sz="2" w:val="single"/>
              <w:bottom w:color="000001" w:space="0" w:sz="2" w:val="single"/>
              <w:right w:color="000001" w:space="0" w:sz="2" w:val="single"/>
            </w:tcBorders>
            <w:shd w:fill="FFFFFF" w:val="clear"/>
            <w:tcMar>
              <w:left w:type="dxa" w:w="42"/>
            </w:tcMar>
            <w:vAlign w:val="center"/>
          </w:tcPr>
          <w:p>
            <w:pPr>
              <w:pStyle w:val="style0"/>
              <w:jc w:val="both"/>
              <w:rPr>
                <w:sz w:val="24"/>
                <w:szCs w:val="24"/>
              </w:rPr>
            </w:pPr>
            <w:r>
              <w:rPr>
                <w:sz w:val="24"/>
                <w:szCs w:val="24"/>
              </w:rPr>
              <w:t xml:space="preserve">« Il y avait dans Alexandrie une femme nommée Hypatie, fille du Philosophe Théon, qui avait fait un si grand progrès dans les sciences qu'elle surpassait tous les Philosophes de son temps, et enseignait dans l'école de Platon et de Plotin, un nombre presque infini de personnes, qui accouraient en foule pour l'écouter. La réputation que sa capacité lui avait acquise, lui donnait la liberté de paraître souvent devant les Juges, ce qu'elle faisait toujours, sans perdre la pudeur, ni la modestie, qui lui attiraient le respect de tout le monde. Sa vertu, toute élevée qu'elle était, ne se trouva pas au-dessus de l'envie. Mais parce qu'elle avait amitié particulière avec Oreste, elle fut accusée d'empêcher qu'il ne se réconciliât avec Cyrille. Quelques personnes transportées d'un zèle trop ardent, qui avaient pour chef un Lecteur nommé Pierre, l'attendirent un jour dans les rues, et l'ayant tirée de sa chaise, la menèrent à l’église nommée Césaréon, la dépouillèrent, et la tuèrent à coups de pots cassés. Après cela ils hachèrent son corps en pièces, et les brûlèrent dans un lieu appelé Cinaron. Une exécution aussi inhumaine que celle-là couvrit d'infamie non seulement Cyrille, mais toute l'Eglise d'Alexandrie, étant certain qu'il n'y a rien si éloigné de l'esprit du Christianisme que le meurtre et les combats. Cela arriva au mois de Mars durant le Carême, en la quatrième année du Pontificat de Cyrille, sous le dixième Consulat d'Honorius, et le sixième de Théodose. » </w:t>
            </w:r>
          </w:p>
          <w:p>
            <w:pPr>
              <w:pStyle w:val="style0"/>
              <w:jc w:val="right"/>
              <w:rPr>
                <w:sz w:val="24"/>
                <w:szCs w:val="24"/>
                <w:shd w:fill="FFFFFF" w:val="clear"/>
              </w:rPr>
            </w:pPr>
            <w:r>
              <w:rPr>
                <w:sz w:val="24"/>
                <w:szCs w:val="24"/>
                <w:shd w:fill="FFFFFF" w:val="clear"/>
              </w:rPr>
              <w:t>Traduction anonyme</w:t>
            </w:r>
          </w:p>
        </w:tc>
      </w:tr>
    </w:tbl>
    <w:p>
      <w:pPr>
        <w:pStyle w:val="style0"/>
        <w:rPr/>
      </w:pPr>
      <w:r>
        <w:rPr/>
      </w:r>
    </w:p>
    <w:sectPr>
      <w:headerReference r:id="rId2" w:type="default"/>
      <w:type w:val="nextPage"/>
      <w:pgSz w:h="16838" w:w="11906"/>
      <w:pgMar w:bottom="1134" w:footer="0" w:gutter="0" w:header="1134" w:left="1134" w:right="1134" w:top="2176"/>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spacing w:after="0" w:before="0" w:line="115" w:lineRule="atLeast"/>
      <w:contextualSpacing w:val="false"/>
      <w:rPr>
        <w:b/>
        <w:bCs/>
        <w:i/>
        <w:iCs/>
        <w:sz w:val="22"/>
        <w:szCs w:val="22"/>
      </w:rPr>
    </w:pPr>
    <w:r>
      <w:rPr>
        <w:b/>
        <w:bCs/>
        <w:i/>
        <w:iCs/>
        <w:sz w:val="22"/>
        <w:szCs w:val="22"/>
      </w:rPr>
      <w:t>EPI LCA-Français-Histoire 5</w:t>
    </w:r>
    <w:r>
      <w:rPr>
        <w:b/>
        <w:bCs/>
        <w:i/>
        <w:iCs/>
        <w:sz w:val="22"/>
        <w:szCs w:val="22"/>
        <w:vertAlign w:val="superscript"/>
      </w:rPr>
      <w:t>e</w:t>
    </w:r>
    <w:r>
      <w:rPr>
        <w:b/>
        <w:bCs/>
        <w:i/>
        <w:iCs/>
        <w:sz w:val="22"/>
        <w:szCs w:val="22"/>
      </w:rPr>
      <w:t> : Comprendre l'humanisme et ce qu'est un héritage culturel.</w:t>
    </w:r>
  </w:p>
  <w:p>
    <w:pPr>
      <w:pStyle w:val="style20"/>
      <w:spacing w:after="0" w:before="0" w:line="115" w:lineRule="atLeast"/>
      <w:contextualSpacing w:val="false"/>
      <w:rPr>
        <w:i/>
        <w:iCs/>
        <w:sz w:val="22"/>
        <w:szCs w:val="22"/>
      </w:rPr>
    </w:pPr>
    <w:r>
      <w:rPr>
        <w:i/>
        <w:iCs/>
        <w:sz w:val="22"/>
        <w:szCs w:val="22"/>
      </w:rPr>
      <w:t>Christine DARNAULT, formatrice académique et professeur de Lettres classiques au lycée Guillaume Budé</w:t>
    </w:r>
  </w:p>
  <w:p>
    <w:pPr>
      <w:pStyle w:val="style20"/>
      <w:spacing w:after="0" w:before="0" w:line="115" w:lineRule="atLeast"/>
      <w:contextualSpacing w:val="false"/>
      <w:rPr>
        <w:i/>
        <w:iCs/>
        <w:sz w:val="22"/>
        <w:szCs w:val="22"/>
      </w:rPr>
    </w:pPr>
    <w:r>
      <w:rPr>
        <w:i/>
        <w:iCs/>
        <w:sz w:val="22"/>
        <w:szCs w:val="22"/>
      </w:rPr>
      <w:t>Séléna H</w:t>
    </w:r>
    <w:r>
      <w:rPr>
        <w:rFonts w:cs="Arial" w:eastAsia="Arial"/>
        <w:i/>
        <w:iCs/>
        <w:sz w:val="22"/>
        <w:szCs w:val="22"/>
      </w:rPr>
      <w:t>É</w:t>
    </w:r>
    <w:r>
      <w:rPr>
        <w:i/>
        <w:iCs/>
        <w:sz w:val="22"/>
        <w:szCs w:val="22"/>
      </w:rPr>
      <w:t>BERT, professeur de Lettres classiques au lycée Samuel de Champlain</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fr-FR"/>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En-tête"/>
    <w:basedOn w:val="style0"/>
    <w:next w:val="style20"/>
    <w:pPr>
      <w:suppressLineNumbers/>
      <w:tabs>
        <w:tab w:leader="none" w:pos="4819" w:val="center"/>
        <w:tab w:leader="none" w:pos="9638" w:val="right"/>
      </w:tabs>
    </w:pPr>
    <w:rPr/>
  </w:style>
  <w:style w:styleId="style21" w:type="paragraph">
    <w:name w:val="Contenu de tableau"/>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2016-04-23T14:13:27Z</dcterms:created>
  <cp:revision>0</cp:revision>
</cp:coreProperties>
</file>